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highlight w:val="lightGray"/>
          <w:u w:val="none"/>
          <w:rtl w:val="0"/>
        </w:rPr>
        <w:t xml:space="preserve">Intitulé de stage M2 ou de fin d’études</w:t>
      </w:r>
      <w:r w:rsidDel="00000000" w:rsidR="00000000" w:rsidRPr="00000000">
        <w:rPr>
          <w:rtl w:val="0"/>
        </w:rPr>
      </w:r>
    </w:p>
    <w:p w:rsidR="00000000" w:rsidDel="00000000" w:rsidP="00000000" w:rsidRDefault="00000000" w:rsidRPr="00000000" w14:paraId="00000002">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Implication de la variabilité de la méthylation de l’ADN dans l’adaptation des populations naturelles de chênes.</w:t>
      </w:r>
    </w:p>
    <w:p w:rsidR="00000000" w:rsidDel="00000000" w:rsidP="00000000" w:rsidRDefault="00000000" w:rsidRPr="00000000" w14:paraId="00000003">
      <w:pPr>
        <w:spacing w:after="0" w:line="240" w:lineRule="auto"/>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4">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Fonts w:ascii="Open Sans" w:cs="Open Sans" w:eastAsia="Open Sans" w:hAnsi="Open Sans"/>
          <w:b w:val="1"/>
          <w:color w:val="000000"/>
          <w:highlight w:val="lightGray"/>
          <w:u w:val="none"/>
          <w:rtl w:val="0"/>
        </w:rPr>
        <w:t xml:space="preserve">Dates</w:t>
      </w:r>
    </w:p>
    <w:p w:rsidR="00000000" w:rsidDel="00000000" w:rsidP="00000000" w:rsidRDefault="00000000" w:rsidRPr="00000000" w14:paraId="00000005">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Durée de stage : 6 mois</w:t>
      </w:r>
    </w:p>
    <w:p w:rsidR="00000000" w:rsidDel="00000000" w:rsidP="00000000" w:rsidRDefault="00000000" w:rsidRPr="00000000" w14:paraId="00000006">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Date de début : à partir de janvier 2023</w:t>
      </w:r>
    </w:p>
    <w:p w:rsidR="00000000" w:rsidDel="00000000" w:rsidP="00000000" w:rsidRDefault="00000000" w:rsidRPr="00000000" w14:paraId="00000007">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8">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Fonts w:ascii="Open Sans" w:cs="Open Sans" w:eastAsia="Open Sans" w:hAnsi="Open Sans"/>
          <w:b w:val="1"/>
          <w:color w:val="000000"/>
          <w:highlight w:val="lightGray"/>
          <w:u w:val="none"/>
          <w:rtl w:val="0"/>
        </w:rPr>
        <w:t xml:space="preserve">Indemnisation</w:t>
      </w:r>
    </w:p>
    <w:p w:rsidR="00000000" w:rsidDel="00000000" w:rsidP="00000000" w:rsidRDefault="00000000" w:rsidRPr="00000000" w14:paraId="00000009">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3400€</w:t>
      </w:r>
    </w:p>
    <w:p w:rsidR="00000000" w:rsidDel="00000000" w:rsidP="00000000" w:rsidRDefault="00000000" w:rsidRPr="00000000" w14:paraId="0000000A">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0B">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Fonts w:ascii="Open Sans" w:cs="Open Sans" w:eastAsia="Open Sans" w:hAnsi="Open Sans"/>
          <w:b w:val="1"/>
          <w:color w:val="000000"/>
          <w:highlight w:val="lightGray"/>
          <w:u w:val="none"/>
          <w:rtl w:val="0"/>
        </w:rPr>
        <w:t xml:space="preserve">Localisation</w:t>
      </w:r>
    </w:p>
    <w:p w:rsidR="00000000" w:rsidDel="00000000" w:rsidP="00000000" w:rsidRDefault="00000000" w:rsidRPr="00000000" w14:paraId="0000000C">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Unité de recherche d’accueil : </w:t>
      </w:r>
      <w:hyperlink r:id="rId6">
        <w:r w:rsidDel="00000000" w:rsidR="00000000" w:rsidRPr="00000000">
          <w:rPr>
            <w:rFonts w:ascii="Open Sans" w:cs="Open Sans" w:eastAsia="Open Sans" w:hAnsi="Open Sans"/>
            <w:color w:val="0000ff"/>
            <w:u w:val="single"/>
            <w:rtl w:val="0"/>
          </w:rPr>
          <w:t xml:space="preserve">UMR 1202 BIOGECO</w:t>
        </w:r>
      </w:hyperlink>
      <w:r w:rsidDel="00000000" w:rsidR="00000000" w:rsidRPr="00000000">
        <w:rPr>
          <w:rtl w:val="0"/>
        </w:rPr>
      </w:r>
    </w:p>
    <w:p w:rsidR="00000000" w:rsidDel="00000000" w:rsidP="00000000" w:rsidRDefault="00000000" w:rsidRPr="00000000" w14:paraId="0000000D">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Adresse : </w:t>
      </w:r>
      <w:hyperlink r:id="rId7">
        <w:r w:rsidDel="00000000" w:rsidR="00000000" w:rsidRPr="00000000">
          <w:rPr>
            <w:rFonts w:ascii="Open Sans" w:cs="Open Sans" w:eastAsia="Open Sans" w:hAnsi="Open Sans"/>
            <w:color w:val="800080"/>
            <w:u w:val="single"/>
            <w:rtl w:val="0"/>
          </w:rPr>
          <w:t xml:space="preserve">Cestas</w:t>
        </w:r>
      </w:hyperlink>
      <w:r w:rsidDel="00000000" w:rsidR="00000000" w:rsidRPr="00000000">
        <w:rPr>
          <w:rFonts w:ascii="Open Sans" w:cs="Open Sans" w:eastAsia="Open Sans" w:hAnsi="Open Sans"/>
          <w:color w:val="0000ff"/>
          <w:u w:val="single"/>
          <w:rtl w:val="0"/>
        </w:rPr>
        <w:t xml:space="preserve"> Pierroton</w:t>
      </w:r>
      <w:r w:rsidDel="00000000" w:rsidR="00000000" w:rsidRPr="00000000">
        <w:rPr>
          <w:rFonts w:ascii="Open Sans" w:cs="Open Sans" w:eastAsia="Open Sans" w:hAnsi="Open Sans"/>
          <w:color w:val="000000"/>
          <w:u w:val="none"/>
          <w:rtl w:val="0"/>
        </w:rPr>
        <w:t xml:space="preserve"> </w:t>
      </w:r>
    </w:p>
    <w:p w:rsidR="00000000" w:rsidDel="00000000" w:rsidP="00000000" w:rsidRDefault="00000000" w:rsidRPr="00000000" w14:paraId="0000000E">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tl w:val="0"/>
        </w:rPr>
      </w:r>
    </w:p>
    <w:p w:rsidR="00000000" w:rsidDel="00000000" w:rsidP="00000000" w:rsidRDefault="00000000" w:rsidRPr="00000000" w14:paraId="0000000F">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Fonts w:ascii="Open Sans" w:cs="Open Sans" w:eastAsia="Open Sans" w:hAnsi="Open Sans"/>
          <w:b w:val="1"/>
          <w:color w:val="000000"/>
          <w:highlight w:val="lightGray"/>
          <w:u w:val="none"/>
          <w:rtl w:val="0"/>
        </w:rPr>
        <w:t xml:space="preserve">Contacts</w:t>
      </w:r>
    </w:p>
    <w:p w:rsidR="00000000" w:rsidDel="00000000" w:rsidP="00000000" w:rsidRDefault="00000000" w:rsidRPr="00000000" w14:paraId="00000010">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Christophe Plomion </w:t>
      </w:r>
      <w:hyperlink r:id="rId8">
        <w:r w:rsidDel="00000000" w:rsidR="00000000" w:rsidRPr="00000000">
          <w:rPr>
            <w:rFonts w:ascii="Open Sans" w:cs="Open Sans" w:eastAsia="Open Sans" w:hAnsi="Open Sans"/>
            <w:color w:val="0000ff"/>
            <w:u w:val="single"/>
            <w:rtl w:val="0"/>
          </w:rPr>
          <w:t xml:space="preserve">christophe.plomion@inrae.fr</w:t>
        </w:r>
      </w:hyperlink>
      <w:r w:rsidDel="00000000" w:rsidR="00000000" w:rsidRPr="00000000">
        <w:rPr>
          <w:rtl w:val="0"/>
        </w:rPr>
      </w:r>
    </w:p>
    <w:p w:rsidR="00000000" w:rsidDel="00000000" w:rsidP="00000000" w:rsidRDefault="00000000" w:rsidRPr="00000000" w14:paraId="00000011">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Ludovic Duvaux </w:t>
      </w:r>
      <w:hyperlink r:id="rId9">
        <w:r w:rsidDel="00000000" w:rsidR="00000000" w:rsidRPr="00000000">
          <w:rPr>
            <w:rFonts w:ascii="Open Sans" w:cs="Open Sans" w:eastAsia="Open Sans" w:hAnsi="Open Sans"/>
            <w:color w:val="0000ff"/>
            <w:u w:val="single"/>
            <w:rtl w:val="0"/>
          </w:rPr>
          <w:t xml:space="preserve">ludovic.duvaux@inrae.fr</w:t>
        </w:r>
      </w:hyperlink>
      <w:r w:rsidDel="00000000" w:rsidR="00000000" w:rsidRPr="00000000">
        <w:rPr>
          <w:rtl w:val="0"/>
        </w:rPr>
      </w:r>
    </w:p>
    <w:p w:rsidR="00000000" w:rsidDel="00000000" w:rsidP="00000000" w:rsidRDefault="00000000" w:rsidRPr="00000000" w14:paraId="00000012">
      <w:pPr>
        <w:spacing w:after="0" w:line="240" w:lineRule="auto"/>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3">
      <w:pPr>
        <w:spacing w:after="0" w:line="240" w:lineRule="auto"/>
        <w:ind w:left="1416" w:firstLine="0"/>
        <w:rPr>
          <w:rFonts w:ascii="Open Sans" w:cs="Open Sans" w:eastAsia="Open Sans" w:hAnsi="Open Sans"/>
          <w:b w:val="1"/>
          <w:color w:val="000000"/>
          <w:highlight w:val="lightGray"/>
          <w:u w:val="none"/>
        </w:rPr>
      </w:pPr>
      <w:r w:rsidDel="00000000" w:rsidR="00000000" w:rsidRPr="00000000">
        <w:rPr>
          <w:rFonts w:ascii="Open Sans" w:cs="Open Sans" w:eastAsia="Open Sans" w:hAnsi="Open Sans"/>
          <w:b w:val="1"/>
          <w:color w:val="000000"/>
          <w:highlight w:val="lightGray"/>
          <w:u w:val="none"/>
          <w:rtl w:val="0"/>
        </w:rPr>
        <w:t xml:space="preserve">Procédure de </w:t>
      </w:r>
      <w:r w:rsidDel="00000000" w:rsidR="00000000" w:rsidRPr="00000000">
        <w:rPr>
          <w:rFonts w:ascii="Open Sans" w:cs="Open Sans" w:eastAsia="Open Sans" w:hAnsi="Open Sans"/>
          <w:b w:val="1"/>
          <w:highlight w:val="lightGray"/>
          <w:rtl w:val="0"/>
        </w:rPr>
        <w:t xml:space="preserve">candidature</w:t>
      </w:r>
      <w:r w:rsidDel="00000000" w:rsidR="00000000" w:rsidRPr="00000000">
        <w:rPr>
          <w:rtl w:val="0"/>
        </w:rPr>
      </w:r>
    </w:p>
    <w:p w:rsidR="00000000" w:rsidDel="00000000" w:rsidP="00000000" w:rsidRDefault="00000000" w:rsidRPr="00000000" w14:paraId="00000014">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Envoyer SVP un CV et une lettre de motivation aux courriels précédents avant le 04 novembre 2023.</w:t>
      </w:r>
    </w:p>
    <w:p w:rsidR="00000000" w:rsidDel="00000000" w:rsidP="00000000" w:rsidRDefault="00000000" w:rsidRPr="00000000" w14:paraId="00000015">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6">
      <w:pPr>
        <w:spacing w:after="0" w:line="240" w:lineRule="auto"/>
        <w:ind w:left="1416" w:firstLine="0"/>
        <w:rPr>
          <w:rFonts w:ascii="Open Sans" w:cs="Open Sans" w:eastAsia="Open Sans" w:hAnsi="Open Sans"/>
          <w:b w:val="1"/>
          <w:color w:val="000000"/>
          <w:u w:val="none"/>
        </w:rPr>
      </w:pPr>
      <w:r w:rsidDel="00000000" w:rsidR="00000000" w:rsidRPr="00000000">
        <w:rPr>
          <w:rFonts w:ascii="Open Sans" w:cs="Open Sans" w:eastAsia="Open Sans" w:hAnsi="Open Sans"/>
          <w:b w:val="1"/>
          <w:color w:val="000000"/>
          <w:highlight w:val="lightGray"/>
          <w:u w:val="none"/>
          <w:rtl w:val="0"/>
        </w:rPr>
        <w:t xml:space="preserve">Description du stage</w:t>
      </w:r>
      <w:r w:rsidDel="00000000" w:rsidR="00000000" w:rsidRPr="00000000">
        <w:rPr>
          <w:rtl w:val="0"/>
        </w:rPr>
      </w:r>
    </w:p>
    <w:p w:rsidR="00000000" w:rsidDel="00000000" w:rsidP="00000000" w:rsidRDefault="00000000" w:rsidRPr="00000000" w14:paraId="00000017">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b w:val="1"/>
          <w:color w:val="000000"/>
          <w:u w:val="none"/>
          <w:rtl w:val="0"/>
        </w:rPr>
        <w:t xml:space="preserve">Contexte :  </w:t>
      </w:r>
      <w:r w:rsidDel="00000000" w:rsidR="00000000" w:rsidRPr="00000000">
        <w:rPr>
          <w:rtl w:val="0"/>
        </w:rPr>
      </w:r>
    </w:p>
    <w:p w:rsidR="00000000" w:rsidDel="00000000" w:rsidP="00000000" w:rsidRDefault="00000000" w:rsidRPr="00000000" w14:paraId="00000018">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Les études portant sur l'adaptation des arbres à l’environnement ont principalement porté sur la contribution du polymorphisme génétique et de l’expression des gènes à l'adaptation locale. Les mécanismes épigénétiques restent peu étudiés, en dépit de leur importance possible chez des organismes à longue durée de vie, chez lesquels ils pourraient faciliter des modifications phénotypiques rapides en réponse aux changements environnementaux en cours. Dans ce contexte, la méthylation de l'ADN a été étudiée de manière approfondie chez la plante modèle Arabidopsis thaliana et plusieurs espèces cultivées, et a montré des effets intégrés sur l'expression des gènes et les phénotypes. Quelques études sur les arbres ont déjà montré que les approches épigénomiques amélioraient notre compréhension du développement et la réponse aux contraintes environnementales de ces organismes. De plus, les variations épigénomiques sont particulièrement pertinentes à étudier sur les méristèmes, qui sont les centres de la morphogenèse pour des traits spécifiques aux arbres comme la régulation de la dormance des bourgeons et la xylogénèse. </w:t>
      </w:r>
    </w:p>
    <w:p w:rsidR="00000000" w:rsidDel="00000000" w:rsidP="00000000" w:rsidRDefault="00000000" w:rsidRPr="00000000" w14:paraId="00000019">
      <w:pPr>
        <w:spacing w:after="0" w:line="240" w:lineRule="auto"/>
        <w:ind w:left="1416" w:firstLine="0"/>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A">
      <w:pPr>
        <w:spacing w:after="0" w:line="240" w:lineRule="auto"/>
        <w:ind w:left="1416" w:firstLine="0"/>
        <w:rPr>
          <w:rFonts w:ascii="Open Sans" w:cs="Open Sans" w:eastAsia="Open Sans" w:hAnsi="Open Sans"/>
          <w:color w:val="000000"/>
          <w:u w:val="none"/>
        </w:rPr>
      </w:pPr>
      <w:r w:rsidDel="00000000" w:rsidR="00000000" w:rsidRPr="00000000">
        <w:rPr>
          <w:rFonts w:ascii="Open Sans" w:cs="Open Sans" w:eastAsia="Open Sans" w:hAnsi="Open Sans"/>
          <w:b w:val="1"/>
          <w:color w:val="000000"/>
          <w:u w:val="none"/>
          <w:rtl w:val="0"/>
        </w:rPr>
        <w:t xml:space="preserve">Contenu et objectifs du stage</w:t>
      </w:r>
      <w:r w:rsidDel="00000000" w:rsidR="00000000" w:rsidRPr="00000000">
        <w:rPr>
          <w:rtl w:val="0"/>
        </w:rPr>
      </w:r>
    </w:p>
    <w:p w:rsidR="00000000" w:rsidDel="00000000" w:rsidP="00000000" w:rsidRDefault="00000000" w:rsidRPr="00000000" w14:paraId="0000001B">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Dans le cadre d’un consortium national (projet </w:t>
      </w:r>
      <w:hyperlink r:id="rId10">
        <w:r w:rsidDel="00000000" w:rsidR="00000000" w:rsidRPr="00000000">
          <w:rPr>
            <w:rFonts w:ascii="Open Sans" w:cs="Open Sans" w:eastAsia="Open Sans" w:hAnsi="Open Sans"/>
            <w:color w:val="0070c0"/>
            <w:u w:val="none"/>
            <w:rtl w:val="0"/>
          </w:rPr>
          <w:t xml:space="preserve">EPITREE</w:t>
        </w:r>
      </w:hyperlink>
      <w:r w:rsidDel="00000000" w:rsidR="00000000" w:rsidRPr="00000000">
        <w:rPr>
          <w:rFonts w:ascii="Open Sans" w:cs="Open Sans" w:eastAsia="Open Sans" w:hAnsi="Open Sans"/>
          <w:color w:val="000000"/>
          <w:u w:val="none"/>
          <w:rtl w:val="0"/>
        </w:rPr>
        <w:t xml:space="preserve">), qui étudie la composante épigénétique dans ses composantes « plastique» et « génétique » de deux espèces d’intérêt économique et écologique : le peuplier et le chêne, nous avons identifié des régions candidates pour l'analyse épigénomique par séquençage bisulfite. </w:t>
      </w:r>
      <w:r w:rsidDel="00000000" w:rsidR="00000000" w:rsidRPr="00000000">
        <w:rPr>
          <w:rFonts w:ascii="Open Sans" w:cs="Open Sans" w:eastAsia="Open Sans" w:hAnsi="Open Sans"/>
          <w:color w:val="000000"/>
          <w:u w:val="none"/>
          <w:rtl w:val="0"/>
        </w:rPr>
        <w:t xml:space="preserve">Ce stage permettra d’acquérir des connaissances et une réflexion scientifique sur le rôle de </w:t>
      </w:r>
      <w:r w:rsidDel="00000000" w:rsidR="00000000" w:rsidRPr="00000000">
        <w:rPr>
          <w:rFonts w:ascii="Open Sans" w:cs="Open Sans" w:eastAsia="Open Sans" w:hAnsi="Open Sans"/>
          <w:rtl w:val="0"/>
        </w:rPr>
        <w:t xml:space="preserve">la </w:t>
      </w:r>
      <w:r w:rsidDel="00000000" w:rsidR="00000000" w:rsidRPr="00000000">
        <w:rPr>
          <w:rFonts w:ascii="Open Sans" w:cs="Open Sans" w:eastAsia="Open Sans" w:hAnsi="Open Sans"/>
          <w:color w:val="000000"/>
          <w:u w:val="none"/>
          <w:rtl w:val="0"/>
        </w:rPr>
        <w:t xml:space="preserve">variabilité épigénétique dans l’adaptation de populations naturelles d</w:t>
      </w:r>
      <w:r w:rsidDel="00000000" w:rsidR="00000000" w:rsidRPr="00000000">
        <w:rPr>
          <w:rFonts w:ascii="Open Sans" w:cs="Open Sans" w:eastAsia="Open Sans" w:hAnsi="Open Sans"/>
          <w:rtl w:val="0"/>
        </w:rPr>
        <w:t xml:space="preserve">’arbres</w:t>
      </w:r>
      <w:r w:rsidDel="00000000" w:rsidR="00000000" w:rsidRPr="00000000">
        <w:rPr>
          <w:rFonts w:ascii="Open Sans" w:cs="Open Sans" w:eastAsia="Open Sans" w:hAnsi="Open Sans"/>
          <w:color w:val="000000"/>
          <w:u w:val="none"/>
          <w:rtl w:val="0"/>
        </w:rPr>
        <w:t xml:space="preserve"> à leur environnement.</w:t>
      </w:r>
    </w:p>
    <w:p w:rsidR="00000000" w:rsidDel="00000000" w:rsidP="00000000" w:rsidRDefault="00000000" w:rsidRPr="00000000" w14:paraId="0000001C">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D">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Plus précisément, il s’agira chez le chêne sessile de caractériser plusieurs aspects des marques épigénétiques: (i)</w:t>
      </w:r>
      <w:r w:rsidDel="00000000" w:rsidR="00000000" w:rsidRPr="00000000">
        <w:rPr>
          <w:rFonts w:ascii="Open Sans" w:cs="Open Sans" w:eastAsia="Open Sans" w:hAnsi="Open Sans"/>
          <w:color w:val="000000"/>
          <w:u w:val="none"/>
          <w:rtl w:val="0"/>
        </w:rPr>
        <w:t xml:space="preserve"> le niveau de variabilité génétique qui leur ai associé,</w:t>
      </w:r>
      <w:r w:rsidDel="00000000" w:rsidR="00000000" w:rsidRPr="00000000">
        <w:rPr>
          <w:rFonts w:ascii="Open Sans" w:cs="Open Sans" w:eastAsia="Open Sans" w:hAnsi="Open Sans"/>
          <w:color w:val="000000"/>
          <w:u w:val="none"/>
          <w:rtl w:val="0"/>
        </w:rPr>
        <w:t xml:space="preserve"> (ii) leur </w:t>
      </w:r>
      <w:r w:rsidDel="00000000" w:rsidR="00000000" w:rsidRPr="00000000">
        <w:rPr>
          <w:rFonts w:ascii="Open Sans" w:cs="Open Sans" w:eastAsia="Open Sans" w:hAnsi="Open Sans"/>
          <w:rtl w:val="0"/>
        </w:rPr>
        <w:t xml:space="preserve">différenciation</w:t>
      </w:r>
      <w:r w:rsidDel="00000000" w:rsidR="00000000" w:rsidRPr="00000000">
        <w:rPr>
          <w:rFonts w:ascii="Open Sans" w:cs="Open Sans" w:eastAsia="Open Sans" w:hAnsi="Open Sans"/>
          <w:color w:val="000000"/>
          <w:u w:val="none"/>
          <w:rtl w:val="0"/>
        </w:rPr>
        <w:t xml:space="preserve"> entre populations et la comparai</w:t>
      </w:r>
      <w:r w:rsidDel="00000000" w:rsidR="00000000" w:rsidRPr="00000000">
        <w:rPr>
          <w:rFonts w:ascii="Open Sans" w:cs="Open Sans" w:eastAsia="Open Sans" w:hAnsi="Open Sans"/>
          <w:rtl w:val="0"/>
        </w:rPr>
        <w:t xml:space="preserve">son avec la structure génétique </w:t>
      </w:r>
      <w:r w:rsidDel="00000000" w:rsidR="00000000" w:rsidRPr="00000000">
        <w:rPr>
          <w:rFonts w:ascii="Open Sans" w:cs="Open Sans" w:eastAsia="Open Sans" w:hAnsi="Open Sans"/>
          <w:color w:val="000000"/>
          <w:u w:val="none"/>
          <w:rtl w:val="0"/>
        </w:rPr>
        <w:t xml:space="preserve"> et (iii) leur contribution à la variation du débourrement végétatif dans des populations naturelles regroupées au sein d’un jardin commun. Ainsi, la phase finale </w:t>
      </w:r>
      <w:r w:rsidDel="00000000" w:rsidR="00000000" w:rsidRPr="00000000">
        <w:rPr>
          <w:rFonts w:ascii="Open Sans" w:cs="Open Sans" w:eastAsia="Open Sans" w:hAnsi="Open Sans"/>
          <w:color w:val="000000"/>
          <w:u w:val="none"/>
          <w:rtl w:val="0"/>
        </w:rPr>
        <w:t xml:space="preserve">du stage portera sur l’analyse conjointe de l’information épigénétique avec l’information génétique, phénotypique ou environnementale afin d’étudier l’impact des variations de méthylation dans les mécanismes d'adaptation des arbres à l'environnement local. Pour cela, des approches comme l’identification de locus associés à la variation de méthylation (meQTL), des corrélations entre méthylation et phénotypes ou environnements seront développées au cours de ce stage.</w:t>
      </w:r>
    </w:p>
    <w:p w:rsidR="00000000" w:rsidDel="00000000" w:rsidP="00000000" w:rsidRDefault="00000000" w:rsidRPr="00000000" w14:paraId="0000001E">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1F">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b w:val="1"/>
          <w:color w:val="000000"/>
          <w:u w:val="none"/>
          <w:rtl w:val="0"/>
        </w:rPr>
        <w:t xml:space="preserve">Données disponibles au début du stage</w:t>
      </w:r>
      <w:r w:rsidDel="00000000" w:rsidR="00000000" w:rsidRPr="00000000">
        <w:rPr>
          <w:rtl w:val="0"/>
        </w:rPr>
      </w:r>
    </w:p>
    <w:p w:rsidR="00000000" w:rsidDel="00000000" w:rsidP="00000000" w:rsidRDefault="00000000" w:rsidRPr="00000000" w14:paraId="00000020">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La caractérisation des 240 arbres étudiés (12 </w:t>
      </w:r>
      <w:r w:rsidDel="00000000" w:rsidR="00000000" w:rsidRPr="00000000">
        <w:rPr>
          <w:rFonts w:ascii="Open Sans" w:cs="Open Sans" w:eastAsia="Open Sans" w:hAnsi="Open Sans"/>
          <w:rtl w:val="0"/>
        </w:rPr>
        <w:t xml:space="preserve">génotypes * 20 populations) </w:t>
      </w:r>
      <w:r w:rsidDel="00000000" w:rsidR="00000000" w:rsidRPr="00000000">
        <w:rPr>
          <w:rFonts w:ascii="Open Sans" w:cs="Open Sans" w:eastAsia="Open Sans" w:hAnsi="Open Sans"/>
          <w:color w:val="000000"/>
          <w:u w:val="none"/>
          <w:rtl w:val="0"/>
        </w:rPr>
        <w:t xml:space="preserve">par Capture-Methyl-seq (séquençage ciblé après capture et modification de la matrice d’ADN au bisulfite) sera disponible au début du stage. Par ailleurs, une </w:t>
      </w:r>
      <w:r w:rsidDel="00000000" w:rsidR="00000000" w:rsidRPr="00000000">
        <w:rPr>
          <w:rFonts w:ascii="Open Sans" w:cs="Open Sans" w:eastAsia="Open Sans" w:hAnsi="Open Sans"/>
          <w:rtl w:val="0"/>
        </w:rPr>
        <w:t xml:space="preserve">chaîne</w:t>
      </w:r>
      <w:r w:rsidDel="00000000" w:rsidR="00000000" w:rsidRPr="00000000">
        <w:rPr>
          <w:rFonts w:ascii="Open Sans" w:cs="Open Sans" w:eastAsia="Open Sans" w:hAnsi="Open Sans"/>
          <w:color w:val="000000"/>
          <w:u w:val="none"/>
          <w:rtl w:val="0"/>
        </w:rPr>
        <w:t xml:space="preserve"> d’analyse bioinformatique permettant de détecter la méthylation des Cytosines dans les trois contextes CG, CHG, CHH est également disponible. Les données phénotypiques (date de </w:t>
      </w:r>
      <w:r w:rsidDel="00000000" w:rsidR="00000000" w:rsidRPr="00000000">
        <w:rPr>
          <w:rFonts w:ascii="Open Sans" w:cs="Open Sans" w:eastAsia="Open Sans" w:hAnsi="Open Sans"/>
          <w:rtl w:val="0"/>
        </w:rPr>
        <w:t xml:space="preserve">débourrement)</w:t>
      </w:r>
      <w:r w:rsidDel="00000000" w:rsidR="00000000" w:rsidRPr="00000000">
        <w:rPr>
          <w:rFonts w:ascii="Open Sans" w:cs="Open Sans" w:eastAsia="Open Sans" w:hAnsi="Open Sans"/>
          <w:color w:val="000000"/>
          <w:u w:val="none"/>
          <w:rtl w:val="0"/>
        </w:rPr>
        <w:t xml:space="preserve"> et environnementales (pédoclimat des populations d’origine) sont également disponibles.</w:t>
      </w:r>
    </w:p>
    <w:p w:rsidR="00000000" w:rsidDel="00000000" w:rsidP="00000000" w:rsidRDefault="00000000" w:rsidRPr="00000000" w14:paraId="00000021">
      <w:pPr>
        <w:spacing w:after="0" w:line="240" w:lineRule="auto"/>
        <w:ind w:left="1416" w:firstLine="0"/>
        <w:jc w:val="both"/>
        <w:rPr>
          <w:rFonts w:ascii="Open Sans" w:cs="Open Sans" w:eastAsia="Open Sans" w:hAnsi="Open Sans"/>
          <w:color w:val="000000"/>
          <w:u w:val="none"/>
        </w:rPr>
      </w:pPr>
      <w:bookmarkStart w:colFirst="0" w:colLast="0" w:name="_gjdgxs" w:id="0"/>
      <w:bookmarkEnd w:id="0"/>
      <w:r w:rsidDel="00000000" w:rsidR="00000000" w:rsidRPr="00000000">
        <w:rPr>
          <w:rtl w:val="0"/>
        </w:rPr>
      </w:r>
    </w:p>
    <w:p w:rsidR="00000000" w:rsidDel="00000000" w:rsidP="00000000" w:rsidRDefault="00000000" w:rsidRPr="00000000" w14:paraId="00000022">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b w:val="1"/>
          <w:color w:val="000000"/>
          <w:u w:val="none"/>
          <w:rtl w:val="0"/>
        </w:rPr>
        <w:t xml:space="preserve">Méthodologie et compétences requises et développées</w:t>
      </w:r>
      <w:r w:rsidDel="00000000" w:rsidR="00000000" w:rsidRPr="00000000">
        <w:rPr>
          <w:rtl w:val="0"/>
        </w:rPr>
      </w:r>
    </w:p>
    <w:p w:rsidR="00000000" w:rsidDel="00000000" w:rsidP="00000000" w:rsidRDefault="00000000" w:rsidRPr="00000000" w14:paraId="00000023">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Le stage s’articule autour de deux temps forts: (i) le traitement des données par analyses bioinformatiques et statistiques et (ii) l’interprétation biologique des résultats à l’aune de concepts en génétique des populations et génomique fonctionnelle. La première partie du stage consistera notamment à comparer les données de haute qualité obtenues par «Whole Genome Bisulfite Sequencing» (WGBS) sur un petit nombre d’individus avec les données populationnelles plus fournies mais potentiellement plus bruitées obtenues par Capture-Methyl-seq (ou SeqCapBis). Cette analyse </w:t>
      </w:r>
      <w:r w:rsidDel="00000000" w:rsidR="00000000" w:rsidRPr="00000000">
        <w:rPr>
          <w:rFonts w:ascii="Open Sans" w:cs="Open Sans" w:eastAsia="Open Sans" w:hAnsi="Open Sans"/>
          <w:color w:val="000000"/>
          <w:u w:val="none"/>
          <w:rtl w:val="0"/>
        </w:rPr>
        <w:t xml:space="preserve">impliquera</w:t>
      </w:r>
      <w:r w:rsidDel="00000000" w:rsidR="00000000" w:rsidRPr="00000000">
        <w:rPr>
          <w:rFonts w:ascii="Open Sans" w:cs="Open Sans" w:eastAsia="Open Sans" w:hAnsi="Open Sans"/>
          <w:color w:val="000000"/>
          <w:u w:val="none"/>
          <w:rtl w:val="0"/>
        </w:rPr>
        <w:t xml:space="preserve"> l’utilisation de méthodes de machine learning type random forest pour corriger les données de SeqCapBis.</w:t>
      </w:r>
    </w:p>
    <w:p w:rsidR="00000000" w:rsidDel="00000000" w:rsidP="00000000" w:rsidRDefault="00000000" w:rsidRPr="00000000" w14:paraId="00000024">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25">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Ce travail nécessitera donc des compétences </w:t>
      </w:r>
      <w:r w:rsidDel="00000000" w:rsidR="00000000" w:rsidRPr="00000000">
        <w:rPr>
          <w:rFonts w:ascii="Open Sans" w:cs="Open Sans" w:eastAsia="Open Sans" w:hAnsi="Open Sans"/>
          <w:rtl w:val="0"/>
        </w:rPr>
        <w:t xml:space="preserve">initiales</w:t>
      </w:r>
      <w:r w:rsidDel="00000000" w:rsidR="00000000" w:rsidRPr="00000000">
        <w:rPr>
          <w:rFonts w:ascii="Open Sans" w:cs="Open Sans" w:eastAsia="Open Sans" w:hAnsi="Open Sans"/>
          <w:color w:val="000000"/>
          <w:u w:val="none"/>
          <w:rtl w:val="0"/>
        </w:rPr>
        <w:t xml:space="preserve"> (qui seront renforcées) sur l’utilisation de langages de programmation pour la manipulation de grandes matrices de données et leur analyse statistique (R et/ou python). Le stage </w:t>
      </w:r>
      <w:r w:rsidDel="00000000" w:rsidR="00000000" w:rsidRPr="00000000">
        <w:rPr>
          <w:rFonts w:ascii="Open Sans" w:cs="Open Sans" w:eastAsia="Open Sans" w:hAnsi="Open Sans"/>
          <w:rtl w:val="0"/>
        </w:rPr>
        <w:t xml:space="preserve">s'intègre</w:t>
      </w:r>
      <w:r w:rsidDel="00000000" w:rsidR="00000000" w:rsidRPr="00000000">
        <w:rPr>
          <w:rFonts w:ascii="Open Sans" w:cs="Open Sans" w:eastAsia="Open Sans" w:hAnsi="Open Sans"/>
          <w:color w:val="000000"/>
          <w:u w:val="none"/>
          <w:rtl w:val="0"/>
        </w:rPr>
        <w:t xml:space="preserve"> également dans un projet qui met en avant la reproductibilité et l’utilisation de programmes de versionnage tel que git et des serveurs herbergés par gitlab.</w:t>
      </w:r>
    </w:p>
    <w:p w:rsidR="00000000" w:rsidDel="00000000" w:rsidP="00000000" w:rsidRDefault="00000000" w:rsidRPr="00000000" w14:paraId="00000026">
      <w:pPr>
        <w:spacing w:after="0" w:line="240" w:lineRule="auto"/>
        <w:ind w:left="1416" w:firstLine="0"/>
        <w:jc w:val="both"/>
        <w:rPr>
          <w:rFonts w:ascii="Open Sans" w:cs="Open Sans" w:eastAsia="Open Sans" w:hAnsi="Open Sans"/>
          <w:color w:val="000000"/>
          <w:u w:val="none"/>
        </w:rPr>
      </w:pPr>
      <w:r w:rsidDel="00000000" w:rsidR="00000000" w:rsidRPr="00000000">
        <w:rPr>
          <w:rtl w:val="0"/>
        </w:rPr>
      </w:r>
    </w:p>
    <w:p w:rsidR="00000000" w:rsidDel="00000000" w:rsidP="00000000" w:rsidRDefault="00000000" w:rsidRPr="00000000" w14:paraId="00000027">
      <w:pPr>
        <w:spacing w:after="0" w:line="240" w:lineRule="auto"/>
        <w:ind w:left="1416" w:firstLine="0"/>
        <w:jc w:val="both"/>
        <w:rPr>
          <w:rFonts w:ascii="Open Sans" w:cs="Open Sans" w:eastAsia="Open Sans" w:hAnsi="Open Sans"/>
          <w:color w:val="000000"/>
          <w:u w:val="none"/>
        </w:rPr>
      </w:pPr>
      <w:r w:rsidDel="00000000" w:rsidR="00000000" w:rsidRPr="00000000">
        <w:rPr>
          <w:rFonts w:ascii="Open Sans" w:cs="Open Sans" w:eastAsia="Open Sans" w:hAnsi="Open Sans"/>
          <w:color w:val="000000"/>
          <w:u w:val="none"/>
          <w:rtl w:val="0"/>
        </w:rPr>
        <w:t xml:space="preserve">L’étudiant.e sera aussi amené.e à interagir avec les membres du réseau EPITREE, ce qui lui permettra de positionner plus largement sa contribution dans une communauté scientifique.</w:t>
      </w:r>
      <w:r w:rsidDel="00000000" w:rsidR="00000000" w:rsidRPr="00000000">
        <w:rPr>
          <w:rtl w:val="0"/>
        </w:rPr>
      </w:r>
    </w:p>
    <w:sectPr>
      <w:headerReference r:id="rId11" w:type="default"/>
      <w:footerReference r:id="rId12" w:type="default"/>
      <w:pgSz w:h="16838" w:w="11906" w:orient="portrait"/>
      <w:pgMar w:bottom="1135" w:top="2694" w:left="0" w:right="1134" w:header="1417" w:footer="45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Raleway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EB Garamond">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490"/>
      </w:tabs>
      <w:spacing w:after="0" w:before="0" w:line="288" w:lineRule="auto"/>
      <w:ind w:left="1134" w:right="0" w:firstLine="0"/>
      <w:jc w:val="left"/>
      <w:rPr>
        <w:rFonts w:ascii="Open Sans" w:cs="Open Sans" w:eastAsia="Open Sans" w:hAnsi="Open Sans"/>
        <w:b w:val="1"/>
        <w:i w:val="0"/>
        <w:smallCaps w:val="0"/>
        <w:strike w:val="0"/>
        <w:color w:val="000000"/>
        <w:sz w:val="14"/>
        <w:szCs w:val="14"/>
        <w:u w:val="none"/>
        <w:shd w:fill="auto" w:val="clear"/>
        <w:vertAlign w:val="baseline"/>
      </w:rPr>
    </w:pPr>
    <w:r w:rsidDel="00000000" w:rsidR="00000000" w:rsidRPr="00000000">
      <w:rPr>
        <w:rFonts w:ascii="EB Garamond" w:cs="EB Garamond" w:eastAsia="EB Garamond" w:hAnsi="EB Garamond"/>
        <w:b w:val="0"/>
        <w:i w:val="0"/>
        <w:smallCaps w:val="0"/>
        <w:strike w:val="0"/>
        <w:color w:val="000000"/>
        <w:sz w:val="24"/>
        <w:szCs w:val="24"/>
        <w:u w:val="none"/>
        <w:shd w:fill="auto" w:val="clear"/>
        <w:vertAlign w:val="baseline"/>
      </w:rPr>
      <w:drawing>
        <wp:inline distB="0" distT="0" distL="0" distR="0">
          <wp:extent cx="2615184" cy="140208"/>
          <wp:effectExtent b="0" l="0" r="0" t="0"/>
          <wp:docPr id="5" name="image3.gif"/>
          <a:graphic>
            <a:graphicData uri="http://schemas.openxmlformats.org/drawingml/2006/picture">
              <pic:pic>
                <pic:nvPicPr>
                  <pic:cNvPr id="0" name="image3.gif"/>
                  <pic:cNvPicPr preferRelativeResize="0"/>
                </pic:nvPicPr>
                <pic:blipFill>
                  <a:blip r:embed="rId1"/>
                  <a:srcRect b="0" l="0" r="0" t="0"/>
                  <a:stretch>
                    <a:fillRect/>
                  </a:stretch>
                </pic:blipFill>
                <pic:spPr>
                  <a:xfrm>
                    <a:off x="0" y="0"/>
                    <a:ext cx="2615184" cy="14020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1358900</wp:posOffset>
              </wp:positionH>
              <wp:positionV relativeFrom="paragraph">
                <wp:posOffset>-38099</wp:posOffset>
              </wp:positionV>
              <wp:extent cx="5375275" cy="12700"/>
              <wp:effectExtent b="0" l="0" r="0" t="0"/>
              <wp:wrapNone/>
              <wp:docPr id="1" name=""/>
              <a:graphic>
                <a:graphicData uri="http://schemas.microsoft.com/office/word/2010/wordprocessingShape">
                  <wps:wsp>
                    <wps:cNvCnPr/>
                    <wps:spPr>
                      <a:xfrm>
                        <a:off x="2658363" y="3780000"/>
                        <a:ext cx="5375275" cy="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1358900</wp:posOffset>
              </wp:positionH>
              <wp:positionV relativeFrom="paragraph">
                <wp:posOffset>-38099</wp:posOffset>
              </wp:positionV>
              <wp:extent cx="5375275" cy="12700"/>
              <wp:effectExtent b="0" l="0" r="0" t="0"/>
              <wp:wrapNone/>
              <wp:docPr id="1" name="image5.png"/>
              <a:graphic>
                <a:graphicData uri="http://schemas.openxmlformats.org/drawingml/2006/picture">
                  <pic:pic>
                    <pic:nvPicPr>
                      <pic:cNvPr id="0" name="image5.png"/>
                      <pic:cNvPicPr preferRelativeResize="0"/>
                    </pic:nvPicPr>
                    <pic:blipFill>
                      <a:blip r:embed="rId2"/>
                      <a:srcRect/>
                      <a:stretch>
                        <a:fillRect/>
                      </a:stretch>
                    </pic:blipFill>
                    <pic:spPr>
                      <a:xfrm>
                        <a:off x="0" y="0"/>
                        <a:ext cx="5375275" cy="12700"/>
                      </a:xfrm>
                      <a:prstGeom prst="rect"/>
                      <a:ln/>
                    </pic:spPr>
                  </pic:pic>
                </a:graphicData>
              </a:graphic>
            </wp:anchor>
          </w:drawing>
        </mc:Fallback>
      </mc:AlternateContent>
    </w:r>
  </w:p>
  <w:tbl>
    <w:tblPr>
      <w:tblStyle w:val="Table1"/>
      <w:tblW w:w="6940.0" w:type="dxa"/>
      <w:jc w:val="left"/>
      <w:tblInd w:w="1152.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000"/>
    </w:tblPr>
    <w:tblGrid>
      <w:gridCol w:w="2410"/>
      <w:gridCol w:w="4530"/>
      <w:tblGridChange w:id="0">
        <w:tblGrid>
          <w:gridCol w:w="2410"/>
          <w:gridCol w:w="45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Raleway ExtraBold" w:cs="Raleway ExtraBold" w:eastAsia="Raleway ExtraBold" w:hAnsi="Raleway ExtraBold"/>
              <w:b w:val="0"/>
              <w:i w:val="0"/>
              <w:smallCaps w:val="0"/>
              <w:strike w:val="0"/>
              <w:color w:val="00a3a6"/>
              <w:sz w:val="14"/>
              <w:szCs w:val="14"/>
              <w:u w:val="none"/>
              <w:shd w:fill="auto" w:val="clear"/>
              <w:vertAlign w:val="baseline"/>
            </w:rPr>
          </w:pPr>
          <w:r w:rsidDel="00000000" w:rsidR="00000000" w:rsidRPr="00000000">
            <w:rPr>
              <w:rFonts w:ascii="Raleway ExtraBold" w:cs="Raleway ExtraBold" w:eastAsia="Raleway ExtraBold" w:hAnsi="Raleway ExtraBold"/>
              <w:b w:val="0"/>
              <w:i w:val="0"/>
              <w:smallCaps w:val="0"/>
              <w:strike w:val="0"/>
              <w:color w:val="00a3a6"/>
              <w:sz w:val="14"/>
              <w:szCs w:val="14"/>
              <w:u w:val="none"/>
              <w:shd w:fill="auto" w:val="clear"/>
              <w:vertAlign w:val="baseline"/>
              <w:rtl w:val="0"/>
            </w:rPr>
            <w:t xml:space="preserve">INRAE Univ. Bordeaux</w:t>
            <w:br w:type="textWrapping"/>
            <w:t xml:space="preserve">UMR BIOGECO</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Raleway SemiBold" w:cs="Raleway SemiBold" w:eastAsia="Raleway SemiBold" w:hAnsi="Raleway Semi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69 route d’Arcachon</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360" w:lineRule="auto"/>
            <w:ind w:left="0" w:right="0" w:hanging="115"/>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33610 Cestas France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0.0" w:type="dxa"/>
            <w:left w:w="108.0" w:type="dxa"/>
            <w:bottom w:w="0.0" w:type="dxa"/>
            <w:right w:w="108.0" w:type="dxa"/>
          </w:tcMar>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aleway SemiBold" w:cs="Raleway SemiBold" w:eastAsia="Raleway SemiBold" w:hAnsi="Raleway Semi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www6.bordeaux-aquitaine.inra.fr/biogeco</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Raleway ExtraBold" w:cs="Raleway ExtraBold" w:eastAsia="Raleway ExtraBold" w:hAnsi="Raleway ExtraBold"/>
              <w:b w:val="0"/>
              <w:i w:val="0"/>
              <w:smallCaps w:val="0"/>
              <w:strike w:val="0"/>
              <w:color w:val="00a3a6"/>
              <w:sz w:val="14"/>
              <w:szCs w:val="14"/>
              <w:u w:val="none"/>
              <w:shd w:fill="auto" w:val="clear"/>
              <w:vertAlign w:val="baseline"/>
            </w:rPr>
          </w:pPr>
          <w:r w:rsidDel="00000000" w:rsidR="00000000" w:rsidRPr="00000000">
            <w:rPr>
              <w:rFonts w:ascii="Raleway SemiBold" w:cs="Raleway SemiBold" w:eastAsia="Raleway SemiBold" w:hAnsi="Raleway SemiBold"/>
              <w:b w:val="0"/>
              <w:i w:val="0"/>
              <w:smallCaps w:val="0"/>
              <w:strike w:val="0"/>
              <w:color w:val="00a3a6"/>
              <w:sz w:val="14"/>
              <w:szCs w:val="14"/>
              <w:u w:val="none"/>
              <w:shd w:fill="auto" w:val="clear"/>
              <w:vertAlign w:val="baseline"/>
              <w:rtl w:val="0"/>
            </w:rPr>
            <w:t xml:space="preserve">Tel.: +33 (0)5 35 38 53 27</w:t>
          </w:r>
          <w:r w:rsidDel="00000000" w:rsidR="00000000" w:rsidRPr="00000000">
            <w:rPr>
              <w:rtl w:val="0"/>
            </w:rPr>
          </w:r>
        </w:p>
      </w:tc>
    </w:tr>
  </w:tbl>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10490"/>
      </w:tabs>
      <w:spacing w:after="0" w:before="0" w:line="288" w:lineRule="auto"/>
      <w:ind w:left="3261" w:right="0" w:firstLine="0"/>
      <w:jc w:val="left"/>
      <w:rPr>
        <w:rFonts w:ascii="EB Garamond" w:cs="EB Garamond" w:eastAsia="EB Garamond" w:hAnsi="EB Garamond"/>
        <w:b w:val="0"/>
        <w:i w:val="0"/>
        <w:smallCaps w:val="0"/>
        <w:strike w:val="0"/>
        <w:color w:val="000000"/>
        <w:sz w:val="24"/>
        <w:szCs w:val="24"/>
        <w:u w:val="none"/>
        <w:shd w:fill="auto" w:val="clear"/>
        <w:vertAlign w:val="baseline"/>
      </w:rPr>
    </w:pP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tl w:val="0"/>
      </w:rPr>
      <w:tab/>
      <w:t xml:space="preserve">[</w:t>
    </w: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Pr>
      <w:fldChar w:fldCharType="begin"/>
      <w:instrText xml:space="preserve">PAGE</w:instrText>
      <w:fldChar w:fldCharType="separate"/>
      <w:fldChar w:fldCharType="end"/>
    </w:r>
    <w:r w:rsidDel="00000000" w:rsidR="00000000" w:rsidRPr="00000000">
      <w:rPr>
        <w:rFonts w:ascii="Open Sans" w:cs="Open Sans" w:eastAsia="Open Sans" w:hAnsi="Open Sans"/>
        <w:b w:val="1"/>
        <w:i w:val="0"/>
        <w:smallCaps w:val="0"/>
        <w:strike w:val="0"/>
        <w:color w:val="000000"/>
        <w:sz w:val="14"/>
        <w:szCs w:val="14"/>
        <w:u w:val="none"/>
        <w:shd w:fill="auto" w:val="clear"/>
        <w:vertAlign w:val="baseline"/>
        <w:rtl w:val="0"/>
      </w:rPr>
      <w:t xml:space="preserv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567"/>
      </w:tabs>
      <w:spacing w:after="0" w:before="0" w:line="288" w:lineRule="auto"/>
      <w:ind w:left="0" w:right="0" w:firstLine="0"/>
      <w:jc w:val="left"/>
      <w:rPr>
        <w:rFonts w:ascii="Open Sans" w:cs="Open Sans" w:eastAsia="Open Sans" w:hAnsi="Open Sans"/>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2551112</wp:posOffset>
          </wp:positionH>
          <wp:positionV relativeFrom="paragraph">
            <wp:posOffset>-548004</wp:posOffset>
          </wp:positionV>
          <wp:extent cx="1737995" cy="697865"/>
          <wp:effectExtent b="0" l="0" r="0" t="0"/>
          <wp:wrapNone/>
          <wp:docPr descr="Universite Bordeaux CMJN-09" id="4" name="image1.jpg"/>
          <a:graphic>
            <a:graphicData uri="http://schemas.openxmlformats.org/drawingml/2006/picture">
              <pic:pic>
                <pic:nvPicPr>
                  <pic:cNvPr descr="Universite Bordeaux CMJN-09" id="0" name="image1.jpg"/>
                  <pic:cNvPicPr preferRelativeResize="0"/>
                </pic:nvPicPr>
                <pic:blipFill>
                  <a:blip r:embed="rId1"/>
                  <a:srcRect b="0" l="0" r="0" t="0"/>
                  <a:stretch>
                    <a:fillRect/>
                  </a:stretch>
                </pic:blipFill>
                <pic:spPr>
                  <a:xfrm>
                    <a:off x="0" y="0"/>
                    <a:ext cx="1737995" cy="69786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5327015</wp:posOffset>
          </wp:positionH>
          <wp:positionV relativeFrom="paragraph">
            <wp:posOffset>-427354</wp:posOffset>
          </wp:positionV>
          <wp:extent cx="1440964" cy="499534"/>
          <wp:effectExtent b="0" l="0" r="0" t="0"/>
          <wp:wrapNone/>
          <wp:docPr id="3" name="image4.jpg"/>
          <a:graphic>
            <a:graphicData uri="http://schemas.openxmlformats.org/drawingml/2006/picture">
              <pic:pic>
                <pic:nvPicPr>
                  <pic:cNvPr id="0" name="image4.jpg"/>
                  <pic:cNvPicPr preferRelativeResize="0"/>
                </pic:nvPicPr>
                <pic:blipFill>
                  <a:blip r:embed="rId2"/>
                  <a:srcRect b="0" l="0" r="0" t="0"/>
                  <a:stretch>
                    <a:fillRect/>
                  </a:stretch>
                </pic:blipFill>
                <pic:spPr>
                  <a:xfrm>
                    <a:off x="0" y="0"/>
                    <a:ext cx="1440964" cy="499534"/>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438150</wp:posOffset>
          </wp:positionH>
          <wp:positionV relativeFrom="paragraph">
            <wp:posOffset>-899794</wp:posOffset>
          </wp:positionV>
          <wp:extent cx="1743075" cy="1395730"/>
          <wp:effectExtent b="0" l="0" r="0" t="0"/>
          <wp:wrapSquare wrapText="bothSides" distB="0" distT="0" distL="114300" distR="114300"/>
          <wp:docPr descr="C:\Users\Christophe\AppData\Local\Microsoft\Windows\INetCache\Content.MSO\AED71722.tmp" id="2" name="image2.jpg"/>
          <a:graphic>
            <a:graphicData uri="http://schemas.openxmlformats.org/drawingml/2006/picture">
              <pic:pic>
                <pic:nvPicPr>
                  <pic:cNvPr descr="C:\Users\Christophe\AppData\Local\Microsoft\Windows\INetCache\Content.MSO\AED71722.tmp" id="0" name="image2.jpg"/>
                  <pic:cNvPicPr preferRelativeResize="0"/>
                </pic:nvPicPr>
                <pic:blipFill>
                  <a:blip r:embed="rId3"/>
                  <a:srcRect b="0" l="0" r="0" t="0"/>
                  <a:stretch>
                    <a:fillRect/>
                  </a:stretch>
                </pic:blipFill>
                <pic:spPr>
                  <a:xfrm>
                    <a:off x="0" y="0"/>
                    <a:ext cx="1743075" cy="13957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www6.inrae.fr/epitree-project/Le-projet-EPITREE" TargetMode="Externa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udovic.duvaux@inrae.fr" TargetMode="External"/><Relationship Id="rId5" Type="http://schemas.openxmlformats.org/officeDocument/2006/relationships/styles" Target="styles.xml"/><Relationship Id="rId6" Type="http://schemas.openxmlformats.org/officeDocument/2006/relationships/hyperlink" Target="https://www6.bordeaux-aquitaine.inrae.fr/biogeco/Contact" TargetMode="External"/><Relationship Id="rId7" Type="http://schemas.openxmlformats.org/officeDocument/2006/relationships/hyperlink" Target="https://www6.bordeaux-aquitaine.inrae.fr/biogeco/Contact" TargetMode="External"/><Relationship Id="rId8" Type="http://schemas.openxmlformats.org/officeDocument/2006/relationships/hyperlink" Target="mailto:christophe.plomion@inrae.fr"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EBGaramond-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alewaySemiBold-regular.ttf"/><Relationship Id="rId2" Type="http://schemas.openxmlformats.org/officeDocument/2006/relationships/font" Target="fonts/RalewaySemiBold-bold.ttf"/><Relationship Id="rId3" Type="http://schemas.openxmlformats.org/officeDocument/2006/relationships/font" Target="fonts/RalewaySemiBold-italic.ttf"/><Relationship Id="rId4" Type="http://schemas.openxmlformats.org/officeDocument/2006/relationships/font" Target="fonts/RalewaySemiBold-boldItalic.ttf"/><Relationship Id="rId9" Type="http://schemas.openxmlformats.org/officeDocument/2006/relationships/font" Target="fonts/EBGaramond-italic.ttf"/><Relationship Id="rId14" Type="http://schemas.openxmlformats.org/officeDocument/2006/relationships/font" Target="fonts/OpenSans-boldItalic.ttf"/><Relationship Id="rId5" Type="http://schemas.openxmlformats.org/officeDocument/2006/relationships/font" Target="fonts/RalewayExtraBold-bold.ttf"/><Relationship Id="rId6" Type="http://schemas.openxmlformats.org/officeDocument/2006/relationships/font" Target="fonts/RalewayExtraBold-boldItalic.ttf"/><Relationship Id="rId7" Type="http://schemas.openxmlformats.org/officeDocument/2006/relationships/font" Target="fonts/EBGaramond-regular.ttf"/><Relationship Id="rId8" Type="http://schemas.openxmlformats.org/officeDocument/2006/relationships/font" Target="fonts/EBGaramond-bold.ttf"/></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 Id="rId2"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4.jpg"/><Relationship Id="rId3"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