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1" w:tblpY="568"/>
        <w:tblW w:w="5660" w:type="dxa"/>
        <w:tblCellMar>
          <w:left w:w="70" w:type="dxa"/>
          <w:right w:w="70" w:type="dxa"/>
        </w:tblCellMar>
        <w:tblLook w:val="04A0" w:firstRow="1" w:lastRow="0" w:firstColumn="1" w:lastColumn="0" w:noHBand="0" w:noVBand="1"/>
      </w:tblPr>
      <w:tblGrid>
        <w:gridCol w:w="5660"/>
      </w:tblGrid>
      <w:tr w:rsidR="00017025">
        <w:trPr>
          <w:trHeight w:val="737"/>
        </w:trPr>
        <w:tc>
          <w:tcPr>
            <w:tcW w:w="5954" w:type="dxa"/>
          </w:tcPr>
          <w:p w:rsidR="00017025" w:rsidRDefault="00017025">
            <w:pPr>
              <w:pStyle w:val="Paragraphestandard"/>
              <w:tabs>
                <w:tab w:val="left" w:pos="7230"/>
                <w:tab w:val="left" w:pos="12616"/>
              </w:tabs>
              <w:rPr>
                <w:rStyle w:val="Lienhypertexte"/>
                <w:rFonts w:ascii="Myriad Pro Cond" w:hAnsi="Myriad Pro Cond" w:cs="Myriad Pro Cond"/>
                <w:color w:val="76923C" w:themeColor="accent3" w:themeShade="BF"/>
                <w:spacing w:val="-3"/>
                <w:sz w:val="16"/>
                <w:szCs w:val="16"/>
                <w:u w:val="none"/>
                <w:lang w:val="en-US"/>
              </w:rPr>
            </w:pPr>
          </w:p>
        </w:tc>
      </w:tr>
    </w:tbl>
    <w:p w:rsidR="00017025" w:rsidRDefault="00206E39" w:rsidP="005121A0">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u w:val="none"/>
        </w:rPr>
      </w:pPr>
      <w:r w:rsidRPr="005121A0">
        <w:rPr>
          <w:rStyle w:val="Lienhypertexte"/>
          <w:rFonts w:ascii="Myriad Pro Cond" w:hAnsi="Myriad Pro Cond" w:cs="Myriad Pro Cond"/>
          <w:b/>
          <w:color w:val="000000"/>
          <w:sz w:val="24"/>
          <w:szCs w:val="24"/>
          <w:highlight w:val="lightGray"/>
          <w:u w:val="none"/>
        </w:rPr>
        <w:t>Intitulé de stage M2 ou de fin d’études</w:t>
      </w:r>
    </w:p>
    <w:p w:rsidR="00017025" w:rsidRDefault="00206E39">
      <w:pPr>
        <w:autoSpaceDE w:val="0"/>
        <w:autoSpaceDN w:val="0"/>
        <w:adjustRightInd w:val="0"/>
        <w:spacing w:after="0" w:line="240" w:lineRule="auto"/>
        <w:ind w:left="1416"/>
        <w:jc w:val="both"/>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Comparaison des rôles jo</w:t>
      </w:r>
      <w:r w:rsidR="007502CA">
        <w:rPr>
          <w:rStyle w:val="Lienhypertexte"/>
          <w:rFonts w:ascii="Myriad Pro Cond" w:hAnsi="Myriad Pro Cond" w:cs="Myriad Pro Cond"/>
          <w:color w:val="000000"/>
          <w:sz w:val="24"/>
          <w:szCs w:val="24"/>
          <w:u w:val="none"/>
        </w:rPr>
        <w:t>ués par la variabilité transcriptomique</w:t>
      </w:r>
      <w:r>
        <w:rPr>
          <w:rStyle w:val="Lienhypertexte"/>
          <w:rFonts w:ascii="Myriad Pro Cond" w:hAnsi="Myriad Pro Cond" w:cs="Myriad Pro Cond"/>
          <w:color w:val="000000"/>
          <w:sz w:val="24"/>
          <w:szCs w:val="24"/>
          <w:u w:val="none"/>
        </w:rPr>
        <w:t xml:space="preserve"> et épigénétique dans l’adaptation des chênes aux changements globaux rapides.</w:t>
      </w:r>
    </w:p>
    <w:p w:rsidR="00017025" w:rsidRDefault="00017025">
      <w:pPr>
        <w:autoSpaceDE w:val="0"/>
        <w:autoSpaceDN w:val="0"/>
        <w:adjustRightInd w:val="0"/>
        <w:spacing w:after="0" w:line="240" w:lineRule="auto"/>
        <w:ind w:left="1416"/>
        <w:jc w:val="both"/>
        <w:textAlignment w:val="center"/>
        <w:rPr>
          <w:rStyle w:val="Lienhypertexte"/>
          <w:rFonts w:ascii="Myriad Pro Cond" w:hAnsi="Myriad Pro Cond" w:cs="Myriad Pro Cond"/>
          <w:color w:val="000000"/>
          <w:sz w:val="24"/>
          <w:szCs w:val="24"/>
          <w:u w:val="none"/>
        </w:rPr>
      </w:pPr>
    </w:p>
    <w:p w:rsidR="00017025" w:rsidRPr="005121A0" w:rsidRDefault="00206E39" w:rsidP="005121A0">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highlight w:val="lightGray"/>
          <w:u w:val="none"/>
        </w:rPr>
      </w:pPr>
      <w:r w:rsidRPr="005121A0">
        <w:rPr>
          <w:rStyle w:val="Lienhypertexte"/>
          <w:rFonts w:ascii="Myriad Pro Cond" w:hAnsi="Myriad Pro Cond" w:cs="Myriad Pro Cond"/>
          <w:b/>
          <w:color w:val="000000"/>
          <w:sz w:val="24"/>
          <w:szCs w:val="24"/>
          <w:highlight w:val="lightGray"/>
          <w:u w:val="none"/>
        </w:rPr>
        <w:t>Dates</w:t>
      </w:r>
    </w:p>
    <w:p w:rsidR="00017025" w:rsidRDefault="00206E39">
      <w:pPr>
        <w:autoSpaceDE w:val="0"/>
        <w:autoSpaceDN w:val="0"/>
        <w:adjustRightInd w:val="0"/>
        <w:spacing w:after="0" w:line="240" w:lineRule="auto"/>
        <w:ind w:left="1416"/>
        <w:jc w:val="both"/>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Durée de stage : 6 mois</w:t>
      </w:r>
    </w:p>
    <w:p w:rsidR="00017025" w:rsidRDefault="00206E39">
      <w:pPr>
        <w:autoSpaceDE w:val="0"/>
        <w:autoSpaceDN w:val="0"/>
        <w:adjustRightInd w:val="0"/>
        <w:spacing w:after="0" w:line="240" w:lineRule="auto"/>
        <w:ind w:left="1416"/>
        <w:jc w:val="both"/>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Date de </w:t>
      </w:r>
      <w:r w:rsidR="007502CA">
        <w:rPr>
          <w:rStyle w:val="Lienhypertexte"/>
          <w:rFonts w:ascii="Myriad Pro Cond" w:hAnsi="Myriad Pro Cond" w:cs="Myriad Pro Cond"/>
          <w:color w:val="000000"/>
          <w:sz w:val="24"/>
          <w:szCs w:val="24"/>
          <w:u w:val="none"/>
        </w:rPr>
        <w:t>début : à partir de janvier 2023</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Pr="005121A0"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highlight w:val="lightGray"/>
          <w:u w:val="none"/>
        </w:rPr>
      </w:pPr>
      <w:r w:rsidRPr="005121A0">
        <w:rPr>
          <w:rStyle w:val="Lienhypertexte"/>
          <w:rFonts w:ascii="Myriad Pro Cond" w:hAnsi="Myriad Pro Cond" w:cs="Myriad Pro Cond"/>
          <w:b/>
          <w:color w:val="000000"/>
          <w:sz w:val="24"/>
          <w:szCs w:val="24"/>
          <w:highlight w:val="lightGray"/>
          <w:u w:val="none"/>
        </w:rPr>
        <w:t>Indemnisation</w:t>
      </w: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3400€</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Pr="005121A0"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highlight w:val="lightGray"/>
          <w:u w:val="none"/>
        </w:rPr>
      </w:pPr>
      <w:r w:rsidRPr="005121A0">
        <w:rPr>
          <w:rStyle w:val="Lienhypertexte"/>
          <w:rFonts w:ascii="Myriad Pro Cond" w:hAnsi="Myriad Pro Cond" w:cs="Myriad Pro Cond"/>
          <w:b/>
          <w:color w:val="000000"/>
          <w:sz w:val="24"/>
          <w:szCs w:val="24"/>
          <w:highlight w:val="lightGray"/>
          <w:u w:val="none"/>
        </w:rPr>
        <w:t>Localisation</w:t>
      </w: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Unité de recherche d’accueil : </w:t>
      </w:r>
      <w:hyperlink r:id="rId7" w:history="1">
        <w:r>
          <w:rPr>
            <w:rStyle w:val="Lienhypertexte"/>
            <w:rFonts w:ascii="Myriad Pro Cond" w:hAnsi="Myriad Pro Cond" w:cs="Myriad Pro Cond"/>
            <w:sz w:val="24"/>
            <w:szCs w:val="24"/>
          </w:rPr>
          <w:t>UMR 1202 BIOGECO</w:t>
        </w:r>
      </w:hyperlink>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Adresse : </w:t>
      </w:r>
      <w:hyperlink r:id="rId8" w:history="1">
        <w:r>
          <w:rPr>
            <w:rStyle w:val="Lienhypertexte"/>
            <w:rFonts w:ascii="Myriad Pro Cond" w:hAnsi="Myriad Pro Cond" w:cs="Myriad Pro Cond"/>
            <w:sz w:val="24"/>
            <w:szCs w:val="24"/>
          </w:rPr>
          <w:t>Cestas</w:t>
        </w:r>
      </w:hyperlink>
      <w:r>
        <w:rPr>
          <w:rStyle w:val="Lienhypertexte"/>
          <w:rFonts w:ascii="Myriad Pro Cond" w:hAnsi="Myriad Pro Cond" w:cs="Myriad Pro Cond"/>
          <w:color w:val="000000"/>
          <w:sz w:val="24"/>
          <w:szCs w:val="24"/>
          <w:u w:val="none"/>
        </w:rPr>
        <w:t xml:space="preserve"> </w:t>
      </w:r>
    </w:p>
    <w:p w:rsidR="00017025" w:rsidRPr="005121A0" w:rsidRDefault="00017025">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highlight w:val="lightGray"/>
          <w:u w:val="none"/>
        </w:rPr>
      </w:pPr>
    </w:p>
    <w:p w:rsidR="00017025" w:rsidRPr="005121A0"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highlight w:val="lightGray"/>
          <w:u w:val="none"/>
        </w:rPr>
      </w:pPr>
      <w:r w:rsidRPr="005121A0">
        <w:rPr>
          <w:rStyle w:val="Lienhypertexte"/>
          <w:rFonts w:ascii="Myriad Pro Cond" w:hAnsi="Myriad Pro Cond" w:cs="Myriad Pro Cond"/>
          <w:b/>
          <w:color w:val="000000"/>
          <w:sz w:val="24"/>
          <w:szCs w:val="24"/>
          <w:highlight w:val="lightGray"/>
          <w:u w:val="none"/>
        </w:rPr>
        <w:t>Contacts</w:t>
      </w: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Gregoire Le-Provost </w:t>
      </w:r>
      <w:hyperlink r:id="rId9" w:history="1">
        <w:r>
          <w:rPr>
            <w:rStyle w:val="Lienhypertexte"/>
            <w:rFonts w:ascii="Myriad Pro Cond" w:hAnsi="Myriad Pro Cond" w:cs="Myriad Pro Cond"/>
            <w:sz w:val="24"/>
            <w:szCs w:val="24"/>
          </w:rPr>
          <w:t>gregoire.le-provost@inrae.fr</w:t>
        </w:r>
      </w:hyperlink>
      <w:r>
        <w:rPr>
          <w:rStyle w:val="Lienhypertexte"/>
          <w:rFonts w:ascii="Myriad Pro Cond" w:hAnsi="Myriad Pro Cond" w:cs="Myriad Pro Cond"/>
          <w:color w:val="000000"/>
          <w:sz w:val="24"/>
          <w:szCs w:val="24"/>
          <w:u w:val="none"/>
        </w:rPr>
        <w:t xml:space="preserve"> </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017025">
      <w:pPr>
        <w:autoSpaceDE w:val="0"/>
        <w:autoSpaceDN w:val="0"/>
        <w:adjustRightInd w:val="0"/>
        <w:spacing w:after="0" w:line="240" w:lineRule="auto"/>
        <w:textAlignment w:val="center"/>
        <w:rPr>
          <w:rStyle w:val="Lienhypertexte"/>
          <w:rFonts w:ascii="Myriad Pro Cond" w:hAnsi="Myriad Pro Cond" w:cs="Myriad Pro Cond"/>
          <w:color w:val="000000"/>
          <w:sz w:val="24"/>
          <w:szCs w:val="24"/>
          <w:u w:val="none"/>
        </w:rPr>
      </w:pPr>
    </w:p>
    <w:p w:rsidR="00017025" w:rsidRPr="005121A0"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highlight w:val="lightGray"/>
          <w:u w:val="none"/>
        </w:rPr>
      </w:pPr>
      <w:r w:rsidRPr="005121A0">
        <w:rPr>
          <w:rStyle w:val="Lienhypertexte"/>
          <w:rFonts w:ascii="Myriad Pro Cond" w:hAnsi="Myriad Pro Cond" w:cs="Myriad Pro Cond"/>
          <w:b/>
          <w:color w:val="000000"/>
          <w:sz w:val="24"/>
          <w:szCs w:val="24"/>
          <w:highlight w:val="lightGray"/>
          <w:u w:val="none"/>
        </w:rPr>
        <w:t>Procédure de canditature</w:t>
      </w: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Envoyer SVP un CV et une lettre de motivation au courriels précédents avant le 15 novembre 2021</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u w:val="none"/>
        </w:rPr>
      </w:pPr>
      <w:r w:rsidRPr="005121A0">
        <w:rPr>
          <w:rStyle w:val="Lienhypertexte"/>
          <w:rFonts w:ascii="Myriad Pro Cond" w:hAnsi="Myriad Pro Cond" w:cs="Myriad Pro Cond"/>
          <w:b/>
          <w:color w:val="000000"/>
          <w:sz w:val="24"/>
          <w:szCs w:val="24"/>
          <w:highlight w:val="lightGray"/>
          <w:u w:val="none"/>
        </w:rPr>
        <w:t>Description du stage</w:t>
      </w: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u w:val="none"/>
        </w:rPr>
      </w:pPr>
      <w:r>
        <w:rPr>
          <w:rStyle w:val="Lienhypertexte"/>
          <w:rFonts w:ascii="Myriad Pro Cond" w:hAnsi="Myriad Pro Cond" w:cs="Myriad Pro Cond"/>
          <w:b/>
          <w:color w:val="000000"/>
          <w:sz w:val="24"/>
          <w:szCs w:val="24"/>
          <w:u w:val="none"/>
        </w:rPr>
        <w:t xml:space="preserve">Contexte :  </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rsidP="007502CA">
      <w:pPr>
        <w:autoSpaceDE w:val="0"/>
        <w:autoSpaceDN w:val="0"/>
        <w:adjustRightInd w:val="0"/>
        <w:spacing w:after="0" w:line="240" w:lineRule="auto"/>
        <w:ind w:left="1416"/>
        <w:jc w:val="both"/>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Les études portant sur l'adaptation des arbres à l’environnement ont principalement porté sur la contribution du polymorphisme ponctuel (SNP) et de l’expression des gènes à l'adaptation locale. Les mécanismes épigénétiques sont restés très peu étudiés, en dépit de leur importance possible chez des organismes à longue durée de vie, chez lesquels ils pourraient faciliter des modifications phénotypiques rapides en réponse aux changements environnementaux en cours. Dans ce contexte, la méthylation de l'ADN a été étudiée de manière approfondie chez la plante modèle Arabidopsis thaliana et plusieurs espèces cultivées, et a montré des effets intégrés sur l'expression des gènes et les phénotypes. Quelques études sur les arbres ont déjà montré que les approches épigénomiques améliorent notre compréhension du développement et la réponse aux contraintes environnementales de ces organismes. De plus, les variations épigénomiques sont particulièrement pertinentes à étudier sur les méristèmes, qui sont les centres de la morphogenèse pour des traits spécifiques aux arbres comme la régulation de la dormance des bourgeons et la xylogénèse. </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5121A0">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u w:val="none"/>
        </w:rPr>
      </w:pPr>
      <w:r>
        <w:rPr>
          <w:rStyle w:val="Lienhypertexte"/>
          <w:rFonts w:ascii="Myriad Pro Cond" w:hAnsi="Myriad Pro Cond" w:cs="Myriad Pro Cond"/>
          <w:b/>
          <w:color w:val="000000"/>
          <w:sz w:val="24"/>
          <w:szCs w:val="24"/>
          <w:u w:val="none"/>
        </w:rPr>
        <w:t>Contenu du stage</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Dans le cadre d’un consortium national (projet </w:t>
      </w:r>
      <w:hyperlink r:id="rId10" w:history="1">
        <w:r>
          <w:rPr>
            <w:rStyle w:val="Lienhypertexte"/>
            <w:rFonts w:ascii="Myriad Pro Cond" w:hAnsi="Myriad Pro Cond" w:cs="Myriad Pro Cond"/>
            <w:color w:val="0070C0"/>
            <w:sz w:val="24"/>
            <w:szCs w:val="24"/>
            <w:u w:val="none"/>
          </w:rPr>
          <w:t>EPITREE</w:t>
        </w:r>
      </w:hyperlink>
      <w:r>
        <w:rPr>
          <w:rStyle w:val="Lienhypertexte"/>
          <w:rFonts w:ascii="Myriad Pro Cond" w:hAnsi="Myriad Pro Cond" w:cs="Myriad Pro Cond"/>
          <w:color w:val="000000"/>
          <w:sz w:val="24"/>
          <w:szCs w:val="24"/>
          <w:u w:val="none"/>
        </w:rPr>
        <w:t xml:space="preserve">), qui étudie la composante épigénétique dans ses composantes « plastique» et « génétique » de deux espèces d’intérêt économique et écologique: le peuplier et le chêne, nous avons identifié des régions candidates pour l'analyse épigénomique par séquençage bisulfite. Ce stage permettra d’acquérir des connaissances </w:t>
      </w:r>
      <w:r>
        <w:rPr>
          <w:rStyle w:val="Lienhypertexte"/>
          <w:rFonts w:ascii="Myriad Pro Cond" w:hAnsi="Myriad Pro Cond" w:cs="Myriad Pro Cond"/>
          <w:color w:val="000000"/>
          <w:sz w:val="24"/>
          <w:szCs w:val="24"/>
          <w:u w:val="none"/>
        </w:rPr>
        <w:lastRenderedPageBreak/>
        <w:t>et une réflexion scientifique sur les deux moteurs de l’adaptation : d’une part la plasticité phénotypique en abordant</w:t>
      </w:r>
      <w:r w:rsidR="00EE73FF">
        <w:rPr>
          <w:rStyle w:val="Lienhypertexte"/>
          <w:rFonts w:ascii="Myriad Pro Cond" w:hAnsi="Myriad Pro Cond" w:cs="Myriad Pro Cond"/>
          <w:color w:val="000000"/>
          <w:sz w:val="24"/>
          <w:szCs w:val="24"/>
          <w:u w:val="none"/>
        </w:rPr>
        <w:t xml:space="preserve"> les mécanismes épigénétiques et la</w:t>
      </w:r>
      <w:r>
        <w:rPr>
          <w:rStyle w:val="Lienhypertexte"/>
          <w:rFonts w:ascii="Myriad Pro Cond" w:hAnsi="Myriad Pro Cond" w:cs="Myriad Pro Cond"/>
          <w:color w:val="000000"/>
          <w:sz w:val="24"/>
          <w:szCs w:val="24"/>
          <w:u w:val="none"/>
        </w:rPr>
        <w:t xml:space="preserve"> régulation de l’expression des gènes.</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rsidP="00EE73FF">
      <w:pPr>
        <w:autoSpaceDE w:val="0"/>
        <w:autoSpaceDN w:val="0"/>
        <w:adjustRightInd w:val="0"/>
        <w:spacing w:after="0" w:line="240" w:lineRule="auto"/>
        <w:ind w:left="1416"/>
        <w:jc w:val="both"/>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Plus précisément, il s’agira chez le chêne : 1/ d’étudier l’effet de la méthylation de l'ADN </w:t>
      </w:r>
      <w:r w:rsidR="007502CA">
        <w:rPr>
          <w:rStyle w:val="Lienhypertexte"/>
          <w:rFonts w:ascii="Myriad Pro Cond" w:hAnsi="Myriad Pro Cond" w:cs="Myriad Pro Cond"/>
          <w:color w:val="000000"/>
          <w:sz w:val="24"/>
          <w:szCs w:val="24"/>
          <w:u w:val="none"/>
        </w:rPr>
        <w:t xml:space="preserve">et </w:t>
      </w:r>
      <w:r w:rsidR="00EE73FF">
        <w:rPr>
          <w:rStyle w:val="Lienhypertexte"/>
          <w:rFonts w:ascii="Myriad Pro Cond" w:hAnsi="Myriad Pro Cond" w:cs="Myriad Pro Cond"/>
          <w:color w:val="000000"/>
          <w:sz w:val="24"/>
          <w:szCs w:val="24"/>
          <w:u w:val="none"/>
        </w:rPr>
        <w:t>de l’expression</w:t>
      </w:r>
      <w:r w:rsidR="007502CA">
        <w:rPr>
          <w:rStyle w:val="Lienhypertexte"/>
          <w:rFonts w:ascii="Myriad Pro Cond" w:hAnsi="Myriad Pro Cond" w:cs="Myriad Pro Cond"/>
          <w:color w:val="000000"/>
          <w:sz w:val="24"/>
          <w:szCs w:val="24"/>
          <w:u w:val="none"/>
        </w:rPr>
        <w:t xml:space="preserve"> des gènes dans </w:t>
      </w:r>
      <w:r w:rsidR="00EE73FF">
        <w:rPr>
          <w:rStyle w:val="Lienhypertexte"/>
          <w:rFonts w:ascii="Myriad Pro Cond" w:hAnsi="Myriad Pro Cond" w:cs="Myriad Pro Cond"/>
          <w:color w:val="000000"/>
          <w:sz w:val="24"/>
          <w:szCs w:val="24"/>
          <w:u w:val="none"/>
        </w:rPr>
        <w:t>des bourgeons</w:t>
      </w:r>
      <w:r>
        <w:rPr>
          <w:rStyle w:val="Lienhypertexte"/>
          <w:rFonts w:ascii="Myriad Pro Cond" w:hAnsi="Myriad Pro Cond" w:cs="Myriad Pro Cond"/>
          <w:color w:val="000000"/>
          <w:sz w:val="24"/>
          <w:szCs w:val="24"/>
          <w:u w:val="none"/>
        </w:rPr>
        <w:t xml:space="preserve"> (méristème primaire) </w:t>
      </w:r>
      <w:r w:rsidR="007502CA">
        <w:rPr>
          <w:rStyle w:val="Lienhypertexte"/>
          <w:rFonts w:ascii="Myriad Pro Cond" w:hAnsi="Myriad Pro Cond" w:cs="Myriad Pro Cond"/>
          <w:color w:val="000000"/>
          <w:sz w:val="24"/>
          <w:szCs w:val="24"/>
          <w:u w:val="none"/>
        </w:rPr>
        <w:t xml:space="preserve">échantillonnés dans des environnements contrastés au cours de la saison de </w:t>
      </w:r>
      <w:r w:rsidR="00EE73FF">
        <w:rPr>
          <w:rStyle w:val="Lienhypertexte"/>
          <w:rFonts w:ascii="Myriad Pro Cond" w:hAnsi="Myriad Pro Cond" w:cs="Myriad Pro Cond"/>
          <w:color w:val="000000"/>
          <w:sz w:val="24"/>
          <w:szCs w:val="24"/>
          <w:u w:val="none"/>
        </w:rPr>
        <w:t>dormance au sein de deux pédigrées de cartographie génétique</w:t>
      </w:r>
      <w:r>
        <w:rPr>
          <w:rStyle w:val="Lienhypertexte"/>
          <w:rFonts w:ascii="Myriad Pro Cond" w:hAnsi="Myriad Pro Cond" w:cs="Myriad Pro Cond"/>
          <w:color w:val="000000"/>
          <w:sz w:val="24"/>
          <w:szCs w:val="24"/>
          <w:u w:val="none"/>
        </w:rPr>
        <w:t xml:space="preserve"> (</w:t>
      </w:r>
      <w:r w:rsidR="00EE73FF">
        <w:rPr>
          <w:rStyle w:val="Lienhypertexte"/>
          <w:rFonts w:ascii="Myriad Pro Cond" w:hAnsi="Myriad Pro Cond" w:cs="Myriad Pro Cond"/>
          <w:color w:val="000000"/>
          <w:sz w:val="24"/>
          <w:szCs w:val="24"/>
          <w:u w:val="none"/>
        </w:rPr>
        <w:t>pour lesquels</w:t>
      </w:r>
      <w:r w:rsidR="007502CA">
        <w:rPr>
          <w:rStyle w:val="Lienhypertexte"/>
          <w:rFonts w:ascii="Myriad Pro Cond" w:hAnsi="Myriad Pro Cond" w:cs="Myriad Pro Cond"/>
          <w:color w:val="000000"/>
          <w:sz w:val="24"/>
          <w:szCs w:val="24"/>
          <w:u w:val="none"/>
        </w:rPr>
        <w:t xml:space="preserve"> nous avons identifié des génotypes précoces et tardifs pour la date </w:t>
      </w:r>
      <w:r w:rsidR="00EE73FF">
        <w:rPr>
          <w:rStyle w:val="Lienhypertexte"/>
          <w:rFonts w:ascii="Myriad Pro Cond" w:hAnsi="Myriad Pro Cond" w:cs="Myriad Pro Cond"/>
          <w:color w:val="000000"/>
          <w:sz w:val="24"/>
          <w:szCs w:val="24"/>
          <w:u w:val="none"/>
        </w:rPr>
        <w:t>de débourrement</w:t>
      </w:r>
      <w:r w:rsidR="007502CA">
        <w:rPr>
          <w:rStyle w:val="Lienhypertexte"/>
          <w:rFonts w:ascii="Myriad Pro Cond" w:hAnsi="Myriad Pro Cond" w:cs="Myriad Pro Cond"/>
          <w:color w:val="000000"/>
          <w:sz w:val="24"/>
          <w:szCs w:val="24"/>
          <w:u w:val="none"/>
        </w:rPr>
        <w:t xml:space="preserve">. Ce </w:t>
      </w:r>
      <w:r w:rsidR="00EE73FF">
        <w:rPr>
          <w:rStyle w:val="Lienhypertexte"/>
          <w:rFonts w:ascii="Myriad Pro Cond" w:hAnsi="Myriad Pro Cond" w:cs="Myriad Pro Cond"/>
          <w:color w:val="000000"/>
          <w:sz w:val="24"/>
          <w:szCs w:val="24"/>
          <w:u w:val="none"/>
        </w:rPr>
        <w:t>pédigrée</w:t>
      </w:r>
      <w:r w:rsidR="007502CA">
        <w:rPr>
          <w:rStyle w:val="Lienhypertexte"/>
          <w:rFonts w:ascii="Myriad Pro Cond" w:hAnsi="Myriad Pro Cond" w:cs="Myriad Pro Cond"/>
          <w:color w:val="000000"/>
          <w:sz w:val="24"/>
          <w:szCs w:val="24"/>
          <w:u w:val="none"/>
        </w:rPr>
        <w:t xml:space="preserve"> est disponible dans deux environnements contrasté pour la température.)</w:t>
      </w:r>
      <w:r>
        <w:rPr>
          <w:rStyle w:val="Lienhypertexte"/>
          <w:rFonts w:ascii="Myriad Pro Cond" w:hAnsi="Myriad Pro Cond" w:cs="Myriad Pro Cond"/>
          <w:color w:val="000000"/>
          <w:sz w:val="24"/>
          <w:szCs w:val="24"/>
          <w:u w:val="none"/>
        </w:rPr>
        <w:t xml:space="preserve">, et 2/ </w:t>
      </w:r>
      <w:r w:rsidR="007502CA">
        <w:rPr>
          <w:rStyle w:val="Lienhypertexte"/>
          <w:rFonts w:ascii="Myriad Pro Cond" w:hAnsi="Myriad Pro Cond" w:cs="Myriad Pro Cond"/>
          <w:color w:val="000000"/>
          <w:sz w:val="24"/>
          <w:szCs w:val="24"/>
          <w:u w:val="none"/>
        </w:rPr>
        <w:t>d’identifier des marques épigénétiques induite</w:t>
      </w:r>
      <w:r w:rsidR="00EE73FF">
        <w:rPr>
          <w:rStyle w:val="Lienhypertexte"/>
          <w:rFonts w:ascii="Myriad Pro Cond" w:hAnsi="Myriad Pro Cond" w:cs="Myriad Pro Cond"/>
          <w:color w:val="000000"/>
          <w:sz w:val="24"/>
          <w:szCs w:val="24"/>
          <w:u w:val="none"/>
        </w:rPr>
        <w:t>s</w:t>
      </w:r>
      <w:r w:rsidR="007502CA">
        <w:rPr>
          <w:rStyle w:val="Lienhypertexte"/>
          <w:rFonts w:ascii="Myriad Pro Cond" w:hAnsi="Myriad Pro Cond" w:cs="Myriad Pro Cond"/>
          <w:color w:val="000000"/>
          <w:sz w:val="24"/>
          <w:szCs w:val="24"/>
          <w:u w:val="none"/>
        </w:rPr>
        <w:t xml:space="preserve"> au cours de la dormance </w:t>
      </w:r>
      <w:r>
        <w:rPr>
          <w:rStyle w:val="Lienhypertexte"/>
          <w:rFonts w:ascii="Myriad Pro Cond" w:hAnsi="Myriad Pro Cond" w:cs="Myriad Pro Cond"/>
          <w:color w:val="000000"/>
          <w:sz w:val="24"/>
          <w:szCs w:val="24"/>
          <w:u w:val="none"/>
        </w:rPr>
        <w:t>et leur</w:t>
      </w:r>
      <w:r w:rsidR="00004E41">
        <w:rPr>
          <w:rStyle w:val="Lienhypertexte"/>
          <w:rFonts w:ascii="Myriad Pro Cond" w:hAnsi="Myriad Pro Cond" w:cs="Myriad Pro Cond"/>
          <w:color w:val="000000"/>
          <w:sz w:val="24"/>
          <w:szCs w:val="24"/>
          <w:u w:val="none"/>
        </w:rPr>
        <w:t>s</w:t>
      </w:r>
      <w:r>
        <w:rPr>
          <w:rStyle w:val="Lienhypertexte"/>
          <w:rFonts w:ascii="Myriad Pro Cond" w:hAnsi="Myriad Pro Cond" w:cs="Myriad Pro Cond"/>
          <w:color w:val="000000"/>
          <w:sz w:val="24"/>
          <w:szCs w:val="24"/>
          <w:u w:val="none"/>
        </w:rPr>
        <w:t xml:space="preserve"> contribution</w:t>
      </w:r>
      <w:r w:rsidR="00004E41">
        <w:rPr>
          <w:rStyle w:val="Lienhypertexte"/>
          <w:rFonts w:ascii="Myriad Pro Cond" w:hAnsi="Myriad Pro Cond" w:cs="Myriad Pro Cond"/>
          <w:color w:val="000000"/>
          <w:sz w:val="24"/>
          <w:szCs w:val="24"/>
          <w:u w:val="none"/>
        </w:rPr>
        <w:t>s</w:t>
      </w:r>
      <w:r>
        <w:rPr>
          <w:rStyle w:val="Lienhypertexte"/>
          <w:rFonts w:ascii="Myriad Pro Cond" w:hAnsi="Myriad Pro Cond" w:cs="Myriad Pro Cond"/>
          <w:color w:val="000000"/>
          <w:sz w:val="24"/>
          <w:szCs w:val="24"/>
          <w:u w:val="none"/>
        </w:rPr>
        <w:t xml:space="preserve"> à la variation du débourrement végétatif dans des </w:t>
      </w:r>
      <w:r w:rsidR="00004E41">
        <w:rPr>
          <w:rStyle w:val="Lienhypertexte"/>
          <w:rFonts w:ascii="Myriad Pro Cond" w:hAnsi="Myriad Pro Cond" w:cs="Myriad Pro Cond"/>
          <w:color w:val="000000"/>
          <w:sz w:val="24"/>
          <w:szCs w:val="24"/>
          <w:u w:val="none"/>
        </w:rPr>
        <w:t>génotypes</w:t>
      </w:r>
      <w:r w:rsidR="007502CA">
        <w:rPr>
          <w:rStyle w:val="Lienhypertexte"/>
          <w:rFonts w:ascii="Myriad Pro Cond" w:hAnsi="Myriad Pro Cond" w:cs="Myriad Pro Cond"/>
          <w:color w:val="000000"/>
          <w:sz w:val="24"/>
          <w:szCs w:val="24"/>
          <w:u w:val="none"/>
        </w:rPr>
        <w:t xml:space="preserve"> de </w:t>
      </w:r>
      <w:r>
        <w:rPr>
          <w:rStyle w:val="Lienhypertexte"/>
          <w:rFonts w:ascii="Myriad Pro Cond" w:hAnsi="Myriad Pro Cond" w:cs="Myriad Pro Cond"/>
          <w:color w:val="000000"/>
          <w:sz w:val="24"/>
          <w:szCs w:val="24"/>
          <w:u w:val="none"/>
        </w:rPr>
        <w:t xml:space="preserve">chênes regroupées au sein </w:t>
      </w:r>
      <w:r w:rsidR="00EE73FF">
        <w:rPr>
          <w:rStyle w:val="Lienhypertexte"/>
          <w:rFonts w:ascii="Myriad Pro Cond" w:hAnsi="Myriad Pro Cond" w:cs="Myriad Pro Cond"/>
          <w:color w:val="000000"/>
          <w:sz w:val="24"/>
          <w:szCs w:val="24"/>
          <w:u w:val="none"/>
        </w:rPr>
        <w:t>de ces deux dispositifs expérimentaux et enfin (3) d’analyser les associations possibles entre niveau d’expression des gènes identifiés en RNAseq et taux de méthylations de l’ADN à la fois dans le corps des gènes ou dans les régions promotrices.</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u w:val="none"/>
        </w:rPr>
      </w:pPr>
      <w:r>
        <w:rPr>
          <w:rStyle w:val="Lienhypertexte"/>
          <w:rFonts w:ascii="Myriad Pro Cond" w:hAnsi="Myriad Pro Cond" w:cs="Myriad Pro Cond"/>
          <w:b/>
          <w:color w:val="000000"/>
          <w:sz w:val="24"/>
          <w:szCs w:val="24"/>
          <w:u w:val="none"/>
        </w:rPr>
        <w:t>Données</w:t>
      </w:r>
      <w:r w:rsidR="005121A0">
        <w:rPr>
          <w:rStyle w:val="Lienhypertexte"/>
          <w:rFonts w:ascii="Myriad Pro Cond" w:hAnsi="Myriad Pro Cond" w:cs="Myriad Pro Cond"/>
          <w:b/>
          <w:color w:val="000000"/>
          <w:sz w:val="24"/>
          <w:szCs w:val="24"/>
          <w:u w:val="none"/>
        </w:rPr>
        <w:t xml:space="preserve"> disponibles au début du stage</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7502CA">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La caractérisation du transcriptome et des </w:t>
      </w:r>
      <w:r w:rsidR="00004E41">
        <w:rPr>
          <w:rStyle w:val="Lienhypertexte"/>
          <w:rFonts w:ascii="Myriad Pro Cond" w:hAnsi="Myriad Pro Cond" w:cs="Myriad Pro Cond"/>
          <w:color w:val="000000"/>
          <w:sz w:val="24"/>
          <w:szCs w:val="24"/>
          <w:u w:val="none"/>
        </w:rPr>
        <w:t>épigénome</w:t>
      </w:r>
      <w:r>
        <w:rPr>
          <w:rStyle w:val="Lienhypertexte"/>
          <w:rFonts w:ascii="Myriad Pro Cond" w:hAnsi="Myriad Pro Cond" w:cs="Myriad Pro Cond"/>
          <w:color w:val="000000"/>
          <w:sz w:val="24"/>
          <w:szCs w:val="24"/>
          <w:u w:val="none"/>
        </w:rPr>
        <w:t xml:space="preserve"> des</w:t>
      </w:r>
      <w:r w:rsidR="00206E39">
        <w:rPr>
          <w:rStyle w:val="Lienhypertexte"/>
          <w:rFonts w:ascii="Myriad Pro Cond" w:hAnsi="Myriad Pro Cond" w:cs="Myriad Pro Cond"/>
          <w:color w:val="000000"/>
          <w:sz w:val="24"/>
          <w:szCs w:val="24"/>
          <w:u w:val="none"/>
        </w:rPr>
        <w:t xml:space="preserve"> arbres  étudiés par </w:t>
      </w:r>
      <w:r>
        <w:rPr>
          <w:rStyle w:val="Lienhypertexte"/>
          <w:rFonts w:ascii="Myriad Pro Cond" w:hAnsi="Myriad Pro Cond" w:cs="Myriad Pro Cond"/>
          <w:color w:val="000000"/>
          <w:sz w:val="24"/>
          <w:szCs w:val="24"/>
          <w:u w:val="none"/>
        </w:rPr>
        <w:t xml:space="preserve">RNAseq et WGBS </w:t>
      </w:r>
      <w:r w:rsidR="00206E39">
        <w:rPr>
          <w:rStyle w:val="Lienhypertexte"/>
          <w:rFonts w:ascii="Myriad Pro Cond" w:hAnsi="Myriad Pro Cond" w:cs="Myriad Pro Cond"/>
          <w:color w:val="000000"/>
          <w:sz w:val="24"/>
          <w:szCs w:val="24"/>
          <w:u w:val="none"/>
        </w:rPr>
        <w:t>sera disponible au début du stage. Par ailleurs, une chaine d’analyse bioinformatique permettant de détecter la méthylation des Cytosines dans les trois contextes CG, CHG, CHH</w:t>
      </w:r>
      <w:r>
        <w:rPr>
          <w:rStyle w:val="Lienhypertexte"/>
          <w:rFonts w:ascii="Myriad Pro Cond" w:hAnsi="Myriad Pro Cond" w:cs="Myriad Pro Cond"/>
          <w:color w:val="000000"/>
          <w:sz w:val="24"/>
          <w:szCs w:val="24"/>
          <w:u w:val="none"/>
        </w:rPr>
        <w:t xml:space="preserve"> ainsi que les régions différentiellement méthylées</w:t>
      </w:r>
      <w:r w:rsidR="00206E39">
        <w:rPr>
          <w:rStyle w:val="Lienhypertexte"/>
          <w:rFonts w:ascii="Myriad Pro Cond" w:hAnsi="Myriad Pro Cond" w:cs="Myriad Pro Cond"/>
          <w:color w:val="000000"/>
          <w:sz w:val="24"/>
          <w:szCs w:val="24"/>
          <w:u w:val="none"/>
        </w:rPr>
        <w:t xml:space="preserve"> est également </w:t>
      </w:r>
      <w:r>
        <w:rPr>
          <w:rStyle w:val="Lienhypertexte"/>
          <w:rFonts w:ascii="Myriad Pro Cond" w:hAnsi="Myriad Pro Cond" w:cs="Myriad Pro Cond"/>
          <w:color w:val="000000"/>
          <w:sz w:val="24"/>
          <w:szCs w:val="24"/>
          <w:u w:val="none"/>
        </w:rPr>
        <w:t>disponible.</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b/>
          <w:color w:val="000000"/>
          <w:sz w:val="24"/>
          <w:szCs w:val="24"/>
          <w:u w:val="none"/>
        </w:rPr>
      </w:pPr>
      <w:r>
        <w:rPr>
          <w:rStyle w:val="Lienhypertexte"/>
          <w:rFonts w:ascii="Myriad Pro Cond" w:hAnsi="Myriad Pro Cond" w:cs="Myriad Pro Cond"/>
          <w:b/>
          <w:color w:val="000000"/>
          <w:sz w:val="24"/>
          <w:szCs w:val="24"/>
          <w:u w:val="none"/>
        </w:rPr>
        <w:t>Compétences développées au cours du stage</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sz w:val="24"/>
          <w:szCs w:val="24"/>
          <w:u w:val="none"/>
        </w:rPr>
      </w:pPr>
      <w:r>
        <w:rPr>
          <w:rStyle w:val="Lienhypertexte"/>
          <w:rFonts w:ascii="Myriad Pro Cond" w:hAnsi="Myriad Pro Cond" w:cs="Myriad Pro Cond"/>
          <w:color w:val="000000"/>
          <w:sz w:val="24"/>
          <w:szCs w:val="24"/>
          <w:u w:val="none"/>
        </w:rPr>
        <w:t xml:space="preserve">Il s’agira essentiellement d’analyse bioinformatique et statistique des données, ainsi que de l’interprétation biologique des résultats. Ce travail nécessitera donc des compétences initiale (qui seront renforcées) sur l’utilisation de langages de programmation pour la manipulation de grandes matrices de données et leur analyse statistique (R et/ou python). </w:t>
      </w:r>
    </w:p>
    <w:p w:rsidR="00017025" w:rsidRDefault="00017025">
      <w:pPr>
        <w:autoSpaceDE w:val="0"/>
        <w:autoSpaceDN w:val="0"/>
        <w:adjustRightInd w:val="0"/>
        <w:spacing w:after="0" w:line="240" w:lineRule="auto"/>
        <w:ind w:left="1416"/>
        <w:textAlignment w:val="center"/>
        <w:rPr>
          <w:rStyle w:val="Lienhypertexte"/>
          <w:rFonts w:ascii="Myriad Pro Cond" w:hAnsi="Myriad Pro Cond" w:cs="Myriad Pro Cond"/>
          <w:color w:val="000000"/>
          <w:u w:val="none"/>
        </w:rPr>
      </w:pPr>
    </w:p>
    <w:p w:rsidR="00017025" w:rsidRDefault="00206E39">
      <w:pPr>
        <w:autoSpaceDE w:val="0"/>
        <w:autoSpaceDN w:val="0"/>
        <w:adjustRightInd w:val="0"/>
        <w:spacing w:after="0" w:line="240" w:lineRule="auto"/>
        <w:ind w:left="1416"/>
        <w:textAlignment w:val="center"/>
        <w:rPr>
          <w:rStyle w:val="Lienhypertexte"/>
          <w:rFonts w:ascii="Myriad Pro Cond" w:hAnsi="Myriad Pro Cond" w:cs="Myriad Pro Cond"/>
          <w:color w:val="000000"/>
          <w:u w:val="none"/>
        </w:rPr>
      </w:pPr>
      <w:r>
        <w:rPr>
          <w:rStyle w:val="Lienhypertexte"/>
          <w:rFonts w:ascii="Myriad Pro Cond" w:hAnsi="Myriad Pro Cond" w:cs="Myriad Pro Cond"/>
          <w:color w:val="000000"/>
          <w:u w:val="none"/>
        </w:rPr>
        <w:t>L’étudiant.e sera aussi amené.e à interagir avec les membres du réseau EPITREE, ce qui lui permettra de positionner plus largement sa contribution dans une communauté scientifique.</w:t>
      </w:r>
    </w:p>
    <w:p w:rsidR="000A1F27" w:rsidRDefault="000A1F27">
      <w:pPr>
        <w:autoSpaceDE w:val="0"/>
        <w:autoSpaceDN w:val="0"/>
        <w:adjustRightInd w:val="0"/>
        <w:spacing w:after="0" w:line="240" w:lineRule="auto"/>
        <w:ind w:left="1416"/>
        <w:textAlignment w:val="center"/>
        <w:rPr>
          <w:rStyle w:val="Lienhypertexte"/>
          <w:rFonts w:ascii="Myriad Pro Cond" w:hAnsi="Myriad Pro Cond" w:cs="Myriad Pro Cond"/>
          <w:color w:val="000000"/>
          <w:u w:val="none"/>
        </w:rPr>
      </w:pPr>
    </w:p>
    <w:p w:rsidR="000A1F27" w:rsidRDefault="000A1F27">
      <w:pPr>
        <w:autoSpaceDE w:val="0"/>
        <w:autoSpaceDN w:val="0"/>
        <w:adjustRightInd w:val="0"/>
        <w:spacing w:after="0" w:line="240" w:lineRule="auto"/>
        <w:ind w:left="1416"/>
        <w:textAlignment w:val="center"/>
        <w:rPr>
          <w:rStyle w:val="Lienhypertexte"/>
          <w:rFonts w:ascii="Myriad Pro Cond" w:hAnsi="Myriad Pro Cond" w:cs="Myriad Pro Cond"/>
          <w:color w:val="000000"/>
          <w:u w:val="none"/>
        </w:rPr>
      </w:pPr>
    </w:p>
    <w:p w:rsidR="000A1F27" w:rsidRDefault="000A1F27">
      <w:pPr>
        <w:autoSpaceDE w:val="0"/>
        <w:autoSpaceDN w:val="0"/>
        <w:adjustRightInd w:val="0"/>
        <w:spacing w:after="0" w:line="240" w:lineRule="auto"/>
        <w:ind w:left="1416"/>
        <w:textAlignment w:val="center"/>
        <w:rPr>
          <w:rStyle w:val="Lienhypertexte"/>
          <w:rFonts w:ascii="Myriad Pro Cond" w:hAnsi="Myriad Pro Cond" w:cs="Myriad Pro Cond"/>
          <w:color w:val="000000"/>
          <w:u w:val="none"/>
        </w:rPr>
      </w:pPr>
      <w:bookmarkStart w:id="0" w:name="_GoBack"/>
      <w:bookmarkEnd w:id="0"/>
    </w:p>
    <w:sectPr w:rsidR="000A1F27">
      <w:headerReference w:type="default" r:id="rId11"/>
      <w:footerReference w:type="default" r:id="rId12"/>
      <w:pgSz w:w="11906" w:h="16838"/>
      <w:pgMar w:top="2694" w:right="1134" w:bottom="1135" w:left="0" w:header="141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239" w:rsidRDefault="00660239">
      <w:pPr>
        <w:spacing w:line="240" w:lineRule="auto"/>
      </w:pPr>
      <w:r>
        <w:separator/>
      </w:r>
    </w:p>
  </w:endnote>
  <w:endnote w:type="continuationSeparator" w:id="0">
    <w:p w:rsidR="00660239" w:rsidRDefault="00660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Mangal">
    <w:altName w:val="Liberation Mono"/>
    <w:panose1 w:val="00000400000000000000"/>
    <w:charset w:val="01"/>
    <w:family w:val="roman"/>
    <w:pitch w:val="default"/>
  </w:font>
  <w:font w:name="Minion Pro">
    <w:panose1 w:val="0204050305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Raleway ExtraBold">
    <w:panose1 w:val="020B0903030101060003"/>
    <w:charset w:val="00"/>
    <w:family w:val="swiss"/>
    <w:pitch w:val="variable"/>
    <w:sig w:usb0="A00002FF" w:usb1="5000205B" w:usb2="00000000" w:usb3="00000000" w:csb0="00000097" w:csb1="00000000"/>
  </w:font>
  <w:font w:name="Raleway SemiBold">
    <w:panose1 w:val="020B07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25" w:rsidRDefault="00206E39">
    <w:pPr>
      <w:pStyle w:val="Paragraphestandard"/>
      <w:tabs>
        <w:tab w:val="left" w:pos="10490"/>
      </w:tabs>
      <w:ind w:left="1134"/>
      <w:rPr>
        <w:rFonts w:ascii="Myriad Pro Cond" w:hAnsi="Myriad Pro Cond" w:cs="Myriad Pro Cond"/>
        <w:b/>
        <w:sz w:val="14"/>
        <w:szCs w:val="16"/>
      </w:rPr>
    </w:pPr>
    <w:r>
      <w:rPr>
        <w:rFonts w:ascii="Myriad Pro Cond" w:hAnsi="Myriad Pro Cond" w:cs="Myriad Pro Cond"/>
        <w:noProof/>
        <w:sz w:val="15"/>
        <w:szCs w:val="15"/>
        <w:lang w:eastAsia="fr-FR"/>
      </w:rPr>
      <mc:AlternateContent>
        <mc:Choice Requires="wps">
          <w:drawing>
            <wp:anchor distT="0" distB="0" distL="114300" distR="114300" simplePos="0" relativeHeight="251660288" behindDoc="0" locked="0" layoutInCell="1" allowOverlap="1">
              <wp:simplePos x="0" y="0"/>
              <wp:positionH relativeFrom="column">
                <wp:posOffset>1358900</wp:posOffset>
              </wp:positionH>
              <wp:positionV relativeFrom="paragraph">
                <wp:posOffset>-36830</wp:posOffset>
              </wp:positionV>
              <wp:extent cx="5375275" cy="0"/>
              <wp:effectExtent l="0" t="0" r="34925" b="19050"/>
              <wp:wrapNone/>
              <wp:docPr id="5" name="Connecteur droit 5"/>
              <wp:cNvGraphicFramePr/>
              <a:graphic xmlns:a="http://schemas.openxmlformats.org/drawingml/2006/main">
                <a:graphicData uri="http://schemas.microsoft.com/office/word/2010/wordprocessingShape">
                  <wps:wsp>
                    <wps:cNvCnPr/>
                    <wps:spPr>
                      <a:xfrm>
                        <a:off x="0" y="0"/>
                        <a:ext cx="53752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necteur droit 5" o:spid="_x0000_s1026" o:spt="20" style="position:absolute;left:0pt;margin-left:107pt;margin-top:-2.9pt;height:0pt;width:423.25pt;z-index:251660288;mso-width-relative:page;mso-height-relative:page;" filled="f" stroked="t" coordsize="21600,21600" o:gfxdata="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FODw/XAAAACgEAAA8AAAAAAAAAAQAgAAAAOAAAAGRycy9kb3ducmV2LnhtbFBLAQIUABQAAAAI&#10;AIdO4kAO8Jt92AEAAL0DAAAOAAAAAAAAAAEAIAAAADwBAABkcnMvZTJvRG9jLnhtbFBLBQYAAAAA&#10;BgAGAFkBAACGBQAAAAA=&#10;">
              <v:fill on="f" focussize="0,0"/>
              <v:stroke color="#BFBFBF [2412]" joinstyle="round"/>
              <v:imagedata o:title=""/>
              <o:lock v:ext="edit" aspectratio="f"/>
            </v:line>
          </w:pict>
        </mc:Fallback>
      </mc:AlternateContent>
    </w:r>
    <w:r>
      <w:rPr>
        <w:noProof/>
        <w:lang w:eastAsia="fr-FR"/>
      </w:rPr>
      <w:drawing>
        <wp:inline distT="0" distB="0" distL="0" distR="0">
          <wp:extent cx="2614930" cy="1397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15184" cy="140208"/>
                  </a:xfrm>
                  <a:prstGeom prst="rect">
                    <a:avLst/>
                  </a:prstGeom>
                </pic:spPr>
              </pic:pic>
            </a:graphicData>
          </a:graphic>
        </wp:inline>
      </w:drawing>
    </w:r>
  </w:p>
  <w:tbl>
    <w:tblPr>
      <w:tblStyle w:val="Grilledutableau"/>
      <w:tblW w:w="0" w:type="auto"/>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530"/>
    </w:tblGrid>
    <w:tr w:rsidR="00017025">
      <w:tc>
        <w:tcPr>
          <w:tcW w:w="2410" w:type="dxa"/>
        </w:tcPr>
        <w:p w:rsidR="00017025" w:rsidRDefault="00206E39">
          <w:pPr>
            <w:pStyle w:val="Pieddepage"/>
            <w:spacing w:line="360" w:lineRule="auto"/>
            <w:ind w:hanging="115"/>
            <w:rPr>
              <w:rFonts w:ascii="Raleway ExtraBold" w:hAnsi="Raleway ExtraBold" w:cstheme="minorHAnsi"/>
              <w:color w:val="00A3A6"/>
              <w:sz w:val="14"/>
              <w:szCs w:val="14"/>
            </w:rPr>
          </w:pPr>
          <w:r>
            <w:rPr>
              <w:rFonts w:ascii="Raleway ExtraBold" w:hAnsi="Raleway ExtraBold" w:cstheme="minorHAnsi"/>
              <w:color w:val="00A3A6"/>
              <w:sz w:val="14"/>
              <w:szCs w:val="14"/>
            </w:rPr>
            <w:t>INRAE Univ. Bordeaux</w:t>
          </w:r>
          <w:r>
            <w:rPr>
              <w:rFonts w:ascii="Raleway ExtraBold" w:hAnsi="Raleway ExtraBold" w:cstheme="minorHAnsi"/>
              <w:color w:val="00A3A6"/>
              <w:sz w:val="14"/>
              <w:szCs w:val="14"/>
            </w:rPr>
            <w:br/>
            <w:t>UMR BIOGECO</w:t>
          </w:r>
        </w:p>
        <w:p w:rsidR="00017025" w:rsidRDefault="00206E39">
          <w:pPr>
            <w:pStyle w:val="Pieddepage"/>
            <w:spacing w:line="360" w:lineRule="auto"/>
            <w:ind w:hanging="115"/>
            <w:rPr>
              <w:rFonts w:ascii="Raleway SemiBold" w:hAnsi="Raleway SemiBold" w:cstheme="minorHAnsi"/>
              <w:color w:val="00A3A6"/>
              <w:sz w:val="14"/>
              <w:szCs w:val="14"/>
            </w:rPr>
          </w:pPr>
          <w:r>
            <w:rPr>
              <w:rFonts w:ascii="Raleway SemiBold" w:hAnsi="Raleway SemiBold" w:cstheme="minorHAnsi"/>
              <w:color w:val="00A3A6"/>
              <w:sz w:val="14"/>
              <w:szCs w:val="14"/>
            </w:rPr>
            <w:t>69 route d’Arcachon</w:t>
          </w:r>
        </w:p>
        <w:p w:rsidR="00017025" w:rsidRDefault="00206E39">
          <w:pPr>
            <w:pStyle w:val="Pieddepage"/>
            <w:spacing w:line="360" w:lineRule="auto"/>
            <w:ind w:hanging="115"/>
          </w:pPr>
          <w:r>
            <w:rPr>
              <w:rFonts w:ascii="Raleway SemiBold" w:hAnsi="Raleway SemiBold" w:cstheme="minorHAnsi"/>
              <w:color w:val="00A3A6"/>
              <w:sz w:val="14"/>
              <w:szCs w:val="14"/>
            </w:rPr>
            <w:t>33610 Cestas France</w:t>
          </w:r>
        </w:p>
      </w:tc>
      <w:tc>
        <w:tcPr>
          <w:tcW w:w="4530" w:type="dxa"/>
        </w:tcPr>
        <w:p w:rsidR="00017025" w:rsidRDefault="00206E39">
          <w:pPr>
            <w:pStyle w:val="Pieddepage"/>
            <w:rPr>
              <w:rFonts w:ascii="Raleway SemiBold" w:hAnsi="Raleway SemiBold" w:cstheme="minorHAnsi"/>
              <w:color w:val="00A3A6"/>
              <w:sz w:val="14"/>
              <w:szCs w:val="14"/>
            </w:rPr>
          </w:pPr>
          <w:r>
            <w:rPr>
              <w:rFonts w:ascii="Raleway SemiBold" w:hAnsi="Raleway SemiBold" w:cstheme="minorHAnsi"/>
              <w:color w:val="00A3A6"/>
              <w:sz w:val="14"/>
              <w:szCs w:val="14"/>
            </w:rPr>
            <w:t>www6.bordeaux-aquitaine.inra.fr/biogeco</w:t>
          </w:r>
        </w:p>
        <w:p w:rsidR="00017025" w:rsidRDefault="00206E39">
          <w:pPr>
            <w:pStyle w:val="Pieddepage"/>
            <w:rPr>
              <w:rFonts w:ascii="Raleway ExtraBold" w:hAnsi="Raleway ExtraBold" w:cstheme="minorHAnsi"/>
              <w:color w:val="00A3A6"/>
              <w:sz w:val="14"/>
              <w:szCs w:val="14"/>
            </w:rPr>
          </w:pPr>
          <w:r>
            <w:rPr>
              <w:rFonts w:ascii="Raleway SemiBold" w:hAnsi="Raleway SemiBold" w:cstheme="minorHAnsi"/>
              <w:color w:val="00A3A6"/>
              <w:sz w:val="14"/>
              <w:szCs w:val="14"/>
            </w:rPr>
            <w:t>Tel.: +33 (0)5 35 38 53 27</w:t>
          </w:r>
        </w:p>
      </w:tc>
    </w:tr>
  </w:tbl>
  <w:p w:rsidR="00017025" w:rsidRDefault="00206E39">
    <w:pPr>
      <w:pStyle w:val="Paragraphestandard"/>
      <w:tabs>
        <w:tab w:val="left" w:pos="10490"/>
      </w:tabs>
      <w:ind w:left="3261"/>
    </w:pPr>
    <w:r>
      <w:rPr>
        <w:rFonts w:ascii="Myriad Pro Cond" w:hAnsi="Myriad Pro Cond" w:cs="Myriad Pro Cond"/>
        <w:b/>
        <w:sz w:val="14"/>
        <w:szCs w:val="16"/>
      </w:rPr>
      <w:tab/>
      <w:t>[</w:t>
    </w:r>
    <w:r>
      <w:rPr>
        <w:rFonts w:ascii="Myriad Pro Cond" w:hAnsi="Myriad Pro Cond" w:cs="Myriad Pro Cond"/>
        <w:b/>
        <w:sz w:val="14"/>
        <w:szCs w:val="16"/>
      </w:rPr>
      <w:fldChar w:fldCharType="begin"/>
    </w:r>
    <w:r>
      <w:rPr>
        <w:rFonts w:ascii="Myriad Pro Cond" w:hAnsi="Myriad Pro Cond" w:cs="Myriad Pro Cond"/>
        <w:b/>
        <w:sz w:val="14"/>
        <w:szCs w:val="16"/>
      </w:rPr>
      <w:instrText>PAGE   \* MERGEFORMAT</w:instrText>
    </w:r>
    <w:r>
      <w:rPr>
        <w:rFonts w:ascii="Myriad Pro Cond" w:hAnsi="Myriad Pro Cond" w:cs="Myriad Pro Cond"/>
        <w:b/>
        <w:sz w:val="14"/>
        <w:szCs w:val="16"/>
      </w:rPr>
      <w:fldChar w:fldCharType="separate"/>
    </w:r>
    <w:r w:rsidR="00004E41">
      <w:rPr>
        <w:rFonts w:ascii="Myriad Pro Cond" w:hAnsi="Myriad Pro Cond" w:cs="Myriad Pro Cond"/>
        <w:b/>
        <w:noProof/>
        <w:sz w:val="14"/>
        <w:szCs w:val="16"/>
      </w:rPr>
      <w:t>2</w:t>
    </w:r>
    <w:r>
      <w:rPr>
        <w:rFonts w:ascii="Myriad Pro Cond" w:hAnsi="Myriad Pro Cond" w:cs="Myriad Pro Cond"/>
        <w:b/>
        <w:sz w:val="14"/>
        <w:szCs w:val="16"/>
      </w:rPr>
      <w:fldChar w:fldCharType="end"/>
    </w:r>
    <w:r>
      <w:rPr>
        <w:rFonts w:ascii="Myriad Pro Cond" w:hAnsi="Myriad Pro Cond" w:cs="Myriad Pro Cond"/>
        <w:b/>
        <w:sz w:val="14"/>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239" w:rsidRDefault="00660239">
      <w:pPr>
        <w:spacing w:after="0" w:line="240" w:lineRule="auto"/>
      </w:pPr>
      <w:r>
        <w:separator/>
      </w:r>
    </w:p>
  </w:footnote>
  <w:footnote w:type="continuationSeparator" w:id="0">
    <w:p w:rsidR="00660239" w:rsidRDefault="0066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25" w:rsidRDefault="00206E39">
    <w:pPr>
      <w:pStyle w:val="Paragraphestandard"/>
      <w:tabs>
        <w:tab w:val="left" w:pos="567"/>
      </w:tabs>
      <w:rPr>
        <w:rFonts w:ascii="Myriad Pro Cond" w:hAnsi="Myriad Pro Cond" w:cs="Myriad Pro Cond"/>
        <w:spacing w:val="-3"/>
        <w:sz w:val="16"/>
        <w:szCs w:val="16"/>
      </w:rPr>
    </w:pPr>
    <w:r>
      <w:rPr>
        <w:noProof/>
        <w:lang w:eastAsia="fr-FR"/>
      </w:rPr>
      <w:drawing>
        <wp:anchor distT="0" distB="0" distL="114300" distR="114300" simplePos="0" relativeHeight="251661312" behindDoc="0" locked="0" layoutInCell="1" allowOverlap="1">
          <wp:simplePos x="0" y="0"/>
          <wp:positionH relativeFrom="column">
            <wp:posOffset>5327015</wp:posOffset>
          </wp:positionH>
          <wp:positionV relativeFrom="paragraph">
            <wp:posOffset>-427355</wp:posOffset>
          </wp:positionV>
          <wp:extent cx="1440815" cy="499745"/>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964" cy="499534"/>
                  </a:xfrm>
                  <a:prstGeom prst="rect">
                    <a:avLst/>
                  </a:prstGeom>
                </pic:spPr>
              </pic:pic>
            </a:graphicData>
          </a:graphic>
        </wp:anchor>
      </w:drawing>
    </w:r>
    <w:r>
      <w:rPr>
        <w:noProof/>
        <w:lang w:eastAsia="fr-FR"/>
      </w:rPr>
      <w:drawing>
        <wp:anchor distT="0" distB="0" distL="114300" distR="114300" simplePos="0" relativeHeight="251659264" behindDoc="0" locked="0" layoutInCell="1" allowOverlap="1">
          <wp:simplePos x="0" y="0"/>
          <wp:positionH relativeFrom="page">
            <wp:align>center</wp:align>
          </wp:positionH>
          <wp:positionV relativeFrom="paragraph">
            <wp:posOffset>-548005</wp:posOffset>
          </wp:positionV>
          <wp:extent cx="1737995" cy="697865"/>
          <wp:effectExtent l="0" t="0" r="0" b="6985"/>
          <wp:wrapNone/>
          <wp:docPr id="45" name="Image 45" descr="Universite Bordeaux CMJ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descr="Universite Bordeaux CMJN-0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737995" cy="697865"/>
                  </a:xfrm>
                  <a:prstGeom prst="rect">
                    <a:avLst/>
                  </a:prstGeom>
                  <a:noFill/>
                  <a:ln>
                    <a:noFill/>
                  </a:ln>
                </pic:spPr>
              </pic:pic>
            </a:graphicData>
          </a:graphic>
        </wp:anchor>
      </w:drawing>
    </w:r>
    <w:r>
      <w:rPr>
        <w:rFonts w:ascii="Myriad Pro Cond" w:hAnsi="Myriad Pro Cond" w:cs="Myriad Pro Cond"/>
        <w:noProof/>
        <w:spacing w:val="-3"/>
        <w:sz w:val="16"/>
        <w:szCs w:val="16"/>
        <w:lang w:eastAsia="fr-FR"/>
      </w:rPr>
      <w:drawing>
        <wp:anchor distT="0" distB="0" distL="114300" distR="114300" simplePos="0" relativeHeight="251662336" behindDoc="1" locked="0" layoutInCell="1" allowOverlap="1">
          <wp:simplePos x="0" y="0"/>
          <wp:positionH relativeFrom="column">
            <wp:posOffset>438150</wp:posOffset>
          </wp:positionH>
          <wp:positionV relativeFrom="paragraph">
            <wp:posOffset>-899795</wp:posOffset>
          </wp:positionV>
          <wp:extent cx="1743075" cy="1395730"/>
          <wp:effectExtent l="0" t="0" r="9525" b="0"/>
          <wp:wrapTight wrapText="bothSides">
            <wp:wrapPolygon edited="0">
              <wp:start x="0" y="0"/>
              <wp:lineTo x="0" y="21227"/>
              <wp:lineTo x="21482" y="21227"/>
              <wp:lineTo x="21482" y="0"/>
              <wp:lineTo x="0" y="0"/>
            </wp:wrapPolygon>
          </wp:wrapTight>
          <wp:docPr id="3" name="Image 3" descr="C:\Users\Christophe\AppData\Local\Microsoft\Windows\INetCache\Content.MSO\AED717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Christophe\AppData\Local\Microsoft\Windows\INetCache\Content.MSO\AED71722.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743075" cy="13957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04"/>
    <w:rsid w:val="AD6D4DBF"/>
    <w:rsid w:val="AEF7D11A"/>
    <w:rsid w:val="BFDF23E4"/>
    <w:rsid w:val="CF5D07A0"/>
    <w:rsid w:val="D7ECFBEE"/>
    <w:rsid w:val="DE7F319E"/>
    <w:rsid w:val="E76D3035"/>
    <w:rsid w:val="EB9188E1"/>
    <w:rsid w:val="F27BC517"/>
    <w:rsid w:val="F6F7685D"/>
    <w:rsid w:val="FBD56B88"/>
    <w:rsid w:val="FBF5EF0E"/>
    <w:rsid w:val="FD7F918C"/>
    <w:rsid w:val="00003529"/>
    <w:rsid w:val="00004E41"/>
    <w:rsid w:val="00011FA3"/>
    <w:rsid w:val="00017025"/>
    <w:rsid w:val="000377AF"/>
    <w:rsid w:val="0005772C"/>
    <w:rsid w:val="00071555"/>
    <w:rsid w:val="00086BC3"/>
    <w:rsid w:val="000A1F27"/>
    <w:rsid w:val="000A3935"/>
    <w:rsid w:val="000E188E"/>
    <w:rsid w:val="000F766F"/>
    <w:rsid w:val="00100709"/>
    <w:rsid w:val="00105449"/>
    <w:rsid w:val="00114A4E"/>
    <w:rsid w:val="00115ADB"/>
    <w:rsid w:val="001431CB"/>
    <w:rsid w:val="001518AD"/>
    <w:rsid w:val="001649CB"/>
    <w:rsid w:val="00167609"/>
    <w:rsid w:val="00167F07"/>
    <w:rsid w:val="00194C78"/>
    <w:rsid w:val="001A5CA8"/>
    <w:rsid w:val="001B486C"/>
    <w:rsid w:val="00202FB6"/>
    <w:rsid w:val="00203516"/>
    <w:rsid w:val="00206E39"/>
    <w:rsid w:val="002358AF"/>
    <w:rsid w:val="0023770C"/>
    <w:rsid w:val="00275491"/>
    <w:rsid w:val="002B1BBD"/>
    <w:rsid w:val="002C0EFB"/>
    <w:rsid w:val="002C6135"/>
    <w:rsid w:val="002D2EAE"/>
    <w:rsid w:val="002D4061"/>
    <w:rsid w:val="002D7DF7"/>
    <w:rsid w:val="002E79F5"/>
    <w:rsid w:val="00301B02"/>
    <w:rsid w:val="0034671D"/>
    <w:rsid w:val="00354767"/>
    <w:rsid w:val="003621F2"/>
    <w:rsid w:val="00367679"/>
    <w:rsid w:val="00371F55"/>
    <w:rsid w:val="00376721"/>
    <w:rsid w:val="003867AC"/>
    <w:rsid w:val="00392AA5"/>
    <w:rsid w:val="003A07CC"/>
    <w:rsid w:val="003A1D43"/>
    <w:rsid w:val="003A4EE8"/>
    <w:rsid w:val="003A6823"/>
    <w:rsid w:val="003B58C7"/>
    <w:rsid w:val="003C1BB8"/>
    <w:rsid w:val="003D403E"/>
    <w:rsid w:val="003E14EA"/>
    <w:rsid w:val="003E19F9"/>
    <w:rsid w:val="00402659"/>
    <w:rsid w:val="00410F75"/>
    <w:rsid w:val="00416D39"/>
    <w:rsid w:val="00421EA4"/>
    <w:rsid w:val="0042422A"/>
    <w:rsid w:val="00432DC9"/>
    <w:rsid w:val="004944C3"/>
    <w:rsid w:val="004B3544"/>
    <w:rsid w:val="004C29A5"/>
    <w:rsid w:val="004E133E"/>
    <w:rsid w:val="00511821"/>
    <w:rsid w:val="005121A0"/>
    <w:rsid w:val="00512924"/>
    <w:rsid w:val="00516A9A"/>
    <w:rsid w:val="00520DB1"/>
    <w:rsid w:val="005252FD"/>
    <w:rsid w:val="0054233D"/>
    <w:rsid w:val="005571EB"/>
    <w:rsid w:val="005614CF"/>
    <w:rsid w:val="0056194F"/>
    <w:rsid w:val="005724BC"/>
    <w:rsid w:val="005866A0"/>
    <w:rsid w:val="00594031"/>
    <w:rsid w:val="00594EC0"/>
    <w:rsid w:val="005974C4"/>
    <w:rsid w:val="005A2DB1"/>
    <w:rsid w:val="005A32CB"/>
    <w:rsid w:val="005A365F"/>
    <w:rsid w:val="005A6C5B"/>
    <w:rsid w:val="005C2478"/>
    <w:rsid w:val="005D4BA2"/>
    <w:rsid w:val="00631F0A"/>
    <w:rsid w:val="00633AB4"/>
    <w:rsid w:val="006351B9"/>
    <w:rsid w:val="00636F38"/>
    <w:rsid w:val="00641E01"/>
    <w:rsid w:val="00645245"/>
    <w:rsid w:val="00652CAD"/>
    <w:rsid w:val="00660239"/>
    <w:rsid w:val="006645D4"/>
    <w:rsid w:val="00680C43"/>
    <w:rsid w:val="0069676E"/>
    <w:rsid w:val="006C2F1D"/>
    <w:rsid w:val="006C42ED"/>
    <w:rsid w:val="006C58F3"/>
    <w:rsid w:val="006D16DF"/>
    <w:rsid w:val="006D6FEE"/>
    <w:rsid w:val="006E1202"/>
    <w:rsid w:val="006F3440"/>
    <w:rsid w:val="00713BDC"/>
    <w:rsid w:val="00733B09"/>
    <w:rsid w:val="00744E3F"/>
    <w:rsid w:val="00745C0C"/>
    <w:rsid w:val="0074760D"/>
    <w:rsid w:val="007502CA"/>
    <w:rsid w:val="007545E0"/>
    <w:rsid w:val="007568C7"/>
    <w:rsid w:val="00762BEB"/>
    <w:rsid w:val="007859A6"/>
    <w:rsid w:val="007953C2"/>
    <w:rsid w:val="007A5B24"/>
    <w:rsid w:val="007B175D"/>
    <w:rsid w:val="007B1D9E"/>
    <w:rsid w:val="007C0826"/>
    <w:rsid w:val="007C78AE"/>
    <w:rsid w:val="007D1CEA"/>
    <w:rsid w:val="007D40CF"/>
    <w:rsid w:val="007F365A"/>
    <w:rsid w:val="00823FAB"/>
    <w:rsid w:val="008251D9"/>
    <w:rsid w:val="00841B09"/>
    <w:rsid w:val="00865B30"/>
    <w:rsid w:val="00870832"/>
    <w:rsid w:val="00881566"/>
    <w:rsid w:val="008B2A00"/>
    <w:rsid w:val="008C7D01"/>
    <w:rsid w:val="008D1391"/>
    <w:rsid w:val="008D2145"/>
    <w:rsid w:val="008D40C6"/>
    <w:rsid w:val="008D6D72"/>
    <w:rsid w:val="008E78DD"/>
    <w:rsid w:val="009158FD"/>
    <w:rsid w:val="009549A4"/>
    <w:rsid w:val="00955D0A"/>
    <w:rsid w:val="009913DD"/>
    <w:rsid w:val="00995235"/>
    <w:rsid w:val="009B3B48"/>
    <w:rsid w:val="009D550D"/>
    <w:rsid w:val="009F52AD"/>
    <w:rsid w:val="009F7478"/>
    <w:rsid w:val="009F7D3D"/>
    <w:rsid w:val="00A0066A"/>
    <w:rsid w:val="00A25165"/>
    <w:rsid w:val="00A36F40"/>
    <w:rsid w:val="00A44697"/>
    <w:rsid w:val="00A76159"/>
    <w:rsid w:val="00A857DF"/>
    <w:rsid w:val="00AA46E1"/>
    <w:rsid w:val="00AB48D5"/>
    <w:rsid w:val="00AB6092"/>
    <w:rsid w:val="00AD7444"/>
    <w:rsid w:val="00AD7EE7"/>
    <w:rsid w:val="00AF0248"/>
    <w:rsid w:val="00AF7466"/>
    <w:rsid w:val="00B23B4E"/>
    <w:rsid w:val="00B44FBF"/>
    <w:rsid w:val="00B45EAA"/>
    <w:rsid w:val="00B6398C"/>
    <w:rsid w:val="00B826B1"/>
    <w:rsid w:val="00B82BF4"/>
    <w:rsid w:val="00B8793D"/>
    <w:rsid w:val="00B92A52"/>
    <w:rsid w:val="00B978A1"/>
    <w:rsid w:val="00BB460F"/>
    <w:rsid w:val="00BC24AB"/>
    <w:rsid w:val="00BD5B5B"/>
    <w:rsid w:val="00C00F85"/>
    <w:rsid w:val="00C14946"/>
    <w:rsid w:val="00C1554D"/>
    <w:rsid w:val="00C47837"/>
    <w:rsid w:val="00C52DD7"/>
    <w:rsid w:val="00C96207"/>
    <w:rsid w:val="00CC2C82"/>
    <w:rsid w:val="00CE0586"/>
    <w:rsid w:val="00CE185D"/>
    <w:rsid w:val="00CE7BB5"/>
    <w:rsid w:val="00CF35E7"/>
    <w:rsid w:val="00D025DA"/>
    <w:rsid w:val="00D30C57"/>
    <w:rsid w:val="00D42B1D"/>
    <w:rsid w:val="00D43BCA"/>
    <w:rsid w:val="00D513FF"/>
    <w:rsid w:val="00D54C12"/>
    <w:rsid w:val="00D64017"/>
    <w:rsid w:val="00D64AE7"/>
    <w:rsid w:val="00DA5575"/>
    <w:rsid w:val="00DC2C5A"/>
    <w:rsid w:val="00DC3A9A"/>
    <w:rsid w:val="00DD6D43"/>
    <w:rsid w:val="00DE633C"/>
    <w:rsid w:val="00DF7555"/>
    <w:rsid w:val="00DF7C9B"/>
    <w:rsid w:val="00E179AC"/>
    <w:rsid w:val="00E20B3A"/>
    <w:rsid w:val="00E4034B"/>
    <w:rsid w:val="00E92E27"/>
    <w:rsid w:val="00EB478D"/>
    <w:rsid w:val="00EC547F"/>
    <w:rsid w:val="00EE73FF"/>
    <w:rsid w:val="00F01115"/>
    <w:rsid w:val="00F07A6F"/>
    <w:rsid w:val="00F16566"/>
    <w:rsid w:val="00F40D60"/>
    <w:rsid w:val="00F655C3"/>
    <w:rsid w:val="00F95004"/>
    <w:rsid w:val="00F961D0"/>
    <w:rsid w:val="00FA7C88"/>
    <w:rsid w:val="00FC63AD"/>
    <w:rsid w:val="00FF0A80"/>
    <w:rsid w:val="00FF1B1F"/>
    <w:rsid w:val="32BB5AC8"/>
    <w:rsid w:val="42F5CE48"/>
    <w:rsid w:val="473FEB45"/>
    <w:rsid w:val="79FE6E66"/>
    <w:rsid w:val="7AECE24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9831"/>
  <w15:docId w15:val="{A63EA757-C06E-478A-A735-118700B6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character" w:styleId="Appeldenotedefin">
    <w:name w:val="endnote reference"/>
    <w:basedOn w:val="Policepardfaut"/>
    <w:uiPriority w:val="99"/>
    <w:semiHidden/>
    <w:unhideWhenUsed/>
    <w:qFormat/>
    <w:rPr>
      <w:vertAlign w:val="superscript"/>
    </w:rPr>
  </w:style>
  <w:style w:type="paragraph" w:styleId="Notedefin">
    <w:name w:val="endnote text"/>
    <w:basedOn w:val="Normal"/>
    <w:link w:val="NotedefinCar"/>
    <w:uiPriority w:val="99"/>
    <w:semiHidden/>
    <w:unhideWhenUsed/>
    <w:qFormat/>
    <w:pPr>
      <w:spacing w:after="0" w:line="240" w:lineRule="auto"/>
    </w:pPr>
    <w:rPr>
      <w:sz w:val="20"/>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styleId="Appelnotedebasdep">
    <w:name w:val="footnote reference"/>
    <w:uiPriority w:val="99"/>
    <w:qFormat/>
    <w:rPr>
      <w:vertAlign w:val="superscript"/>
    </w:rPr>
  </w:style>
  <w:style w:type="paragraph" w:styleId="Notedebasdepage">
    <w:name w:val="footnote text"/>
    <w:basedOn w:val="Normal"/>
    <w:link w:val="NotedebasdepageCar"/>
    <w:uiPriority w:val="99"/>
    <w:qFormat/>
    <w:pPr>
      <w:widowControl w:val="0"/>
      <w:suppressAutoHyphens/>
      <w:spacing w:after="0" w:line="240" w:lineRule="auto"/>
    </w:pPr>
    <w:rPr>
      <w:rFonts w:ascii="Times New Roman" w:eastAsia="Arial Unicode MS" w:hAnsi="Times New Roman" w:cs="Mangal"/>
      <w:kern w:val="2"/>
      <w:sz w:val="20"/>
      <w:szCs w:val="18"/>
      <w:lang w:eastAsia="hi-IN" w:bidi="hi-IN"/>
    </w:r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styleId="Lienhypertexte">
    <w:name w:val="Hyperlink"/>
    <w:basedOn w:val="Policepardfaut"/>
    <w:uiPriority w:val="99"/>
    <w:unhideWhenUsed/>
    <w:qFormat/>
    <w:rPr>
      <w:color w:val="0000FF" w:themeColor="hyperlink"/>
      <w:u w:val="single"/>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paragraph" w:customStyle="1" w:styleId="Paragraphestandard">
    <w:name w:val="[Paragraphe standard]"/>
    <w:basedOn w:val="Normal"/>
    <w:link w:val="ParagraphestandardCar"/>
    <w:uiPriority w:val="99"/>
    <w:qFormat/>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Emetteur">
    <w:name w:val="Emetteur"/>
    <w:basedOn w:val="Paragraphestandard"/>
    <w:link w:val="EmetteurCar"/>
    <w:qFormat/>
    <w:pPr>
      <w:tabs>
        <w:tab w:val="left" w:pos="7230"/>
        <w:tab w:val="left" w:pos="12616"/>
      </w:tabs>
      <w:ind w:left="2268"/>
    </w:pPr>
    <w:rPr>
      <w:rFonts w:ascii="Myriad Pro Cond" w:hAnsi="Myriad Pro Cond" w:cs="Myriad Pro Cond"/>
      <w:b/>
      <w:bCs/>
      <w:sz w:val="20"/>
      <w:szCs w:val="20"/>
    </w:rPr>
  </w:style>
  <w:style w:type="paragraph" w:customStyle="1" w:styleId="Textecourant">
    <w:name w:val="Texte courant"/>
    <w:basedOn w:val="Normal"/>
    <w:link w:val="TextecourantCar"/>
    <w:qFormat/>
    <w:pPr>
      <w:spacing w:after="0" w:line="240" w:lineRule="auto"/>
      <w:ind w:left="2268"/>
    </w:pPr>
    <w:rPr>
      <w:rFonts w:ascii="Minion Pro" w:hAnsi="Minion Pro"/>
      <w:sz w:val="20"/>
      <w:szCs w:val="20"/>
      <w:lang w:val="en-US"/>
    </w:rPr>
  </w:style>
  <w:style w:type="character" w:customStyle="1" w:styleId="ParagraphestandardCar">
    <w:name w:val="[Paragraphe standard] Car"/>
    <w:basedOn w:val="Policepardfaut"/>
    <w:link w:val="Paragraphestandard"/>
    <w:uiPriority w:val="99"/>
    <w:qFormat/>
    <w:rPr>
      <w:rFonts w:ascii="Minion Pro" w:hAnsi="Minion Pro" w:cs="Minion Pro"/>
      <w:color w:val="000000"/>
      <w:sz w:val="24"/>
      <w:szCs w:val="24"/>
    </w:rPr>
  </w:style>
  <w:style w:type="character" w:customStyle="1" w:styleId="EmetteurCar">
    <w:name w:val="Emetteur Car"/>
    <w:basedOn w:val="ParagraphestandardCar"/>
    <w:link w:val="Emetteur"/>
    <w:qFormat/>
    <w:rPr>
      <w:rFonts w:ascii="Myriad Pro Cond" w:hAnsi="Myriad Pro Cond" w:cs="Myriad Pro Cond"/>
      <w:b/>
      <w:bCs/>
      <w:color w:val="000000"/>
      <w:sz w:val="20"/>
      <w:szCs w:val="20"/>
    </w:rPr>
  </w:style>
  <w:style w:type="character" w:customStyle="1" w:styleId="TextecourantCar">
    <w:name w:val="Texte courant Car"/>
    <w:basedOn w:val="Policepardfaut"/>
    <w:link w:val="Textecourant"/>
    <w:qFormat/>
    <w:rPr>
      <w:rFonts w:ascii="Minion Pro" w:hAnsi="Minion Pro"/>
      <w:sz w:val="20"/>
      <w:szCs w:val="20"/>
      <w:lang w:val="en-US"/>
    </w:rPr>
  </w:style>
  <w:style w:type="character" w:customStyle="1" w:styleId="NotedefinCar">
    <w:name w:val="Note de fin Car"/>
    <w:basedOn w:val="Policepardfaut"/>
    <w:link w:val="Notedefin"/>
    <w:uiPriority w:val="99"/>
    <w:semiHidden/>
    <w:qFormat/>
    <w:rPr>
      <w:sz w:val="20"/>
      <w:szCs w:val="20"/>
    </w:rPr>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NotedebasdepageCar">
    <w:name w:val="Note de bas de page Car"/>
    <w:basedOn w:val="Policepardfaut"/>
    <w:link w:val="Notedebasdepage"/>
    <w:uiPriority w:val="99"/>
    <w:qFormat/>
    <w:rPr>
      <w:rFonts w:ascii="Times New Roman" w:eastAsia="Arial Unicode MS" w:hAnsi="Times New Roman" w:cs="Mangal"/>
      <w:kern w:val="2"/>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6.bordeaux-aquitaine.inrae.fr/biogeco/Cont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bordeaux-aquitaine.inrae.fr/biogeco/Conta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6.inrae.fr/epitree-project/Le-projet-EPITREE" TargetMode="External"/><Relationship Id="rId4" Type="http://schemas.openxmlformats.org/officeDocument/2006/relationships/webSettings" Target="webSettings.xml"/><Relationship Id="rId9" Type="http://schemas.openxmlformats.org/officeDocument/2006/relationships/hyperlink" Target="mailto:gregoire.le-provost@inrae.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Gregoire</cp:lastModifiedBy>
  <cp:revision>2</cp:revision>
  <cp:lastPrinted>2021-08-24T16:43:00Z</cp:lastPrinted>
  <dcterms:created xsi:type="dcterms:W3CDTF">2022-10-11T07:43:00Z</dcterms:created>
  <dcterms:modified xsi:type="dcterms:W3CDTF">2022-10-11T07:43:00Z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